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E" w:rsidRDefault="002E577E" w:rsidP="002E577E">
      <w:pPr>
        <w:jc w:val="right"/>
        <w:rPr>
          <w:b/>
          <w:sz w:val="48"/>
          <w:szCs w:val="48"/>
        </w:rPr>
      </w:pPr>
      <w:bookmarkStart w:id="0" w:name="_Toc153189646"/>
      <w:r w:rsidRPr="00447253">
        <w:rPr>
          <w:b/>
          <w:sz w:val="48"/>
          <w:szCs w:val="48"/>
        </w:rPr>
        <w:t xml:space="preserve">Work Paper </w:t>
      </w:r>
      <w:bookmarkEnd w:id="0"/>
      <w:r w:rsidR="00606E8D" w:rsidRPr="00447253">
        <w:rPr>
          <w:b/>
          <w:sz w:val="48"/>
          <w:szCs w:val="48"/>
        </w:rPr>
        <w:t>PGE</w:t>
      </w:r>
      <w:r w:rsidR="00606E8D">
        <w:rPr>
          <w:b/>
          <w:sz w:val="48"/>
          <w:szCs w:val="48"/>
        </w:rPr>
        <w:t>COAGR11</w:t>
      </w:r>
      <w:r w:rsidR="00080907">
        <w:rPr>
          <w:b/>
          <w:sz w:val="48"/>
          <w:szCs w:val="48"/>
        </w:rPr>
        <w:t>9</w:t>
      </w:r>
    </w:p>
    <w:p w:rsidR="00954E07" w:rsidRPr="00954E07" w:rsidRDefault="00E80AFB" w:rsidP="00954E07">
      <w:pPr>
        <w:jc w:val="right"/>
        <w:rPr>
          <w:b/>
          <w:sz w:val="48"/>
          <w:szCs w:val="48"/>
        </w:rPr>
      </w:pPr>
      <w:bookmarkStart w:id="1" w:name="_Toc153189647"/>
      <w:r>
        <w:rPr>
          <w:b/>
          <w:sz w:val="48"/>
          <w:szCs w:val="48"/>
        </w:rPr>
        <w:t>VFD on Agricultural Pumps</w:t>
      </w:r>
    </w:p>
    <w:p w:rsidR="002E577E" w:rsidRDefault="002E577E" w:rsidP="002E577E">
      <w:pPr>
        <w:jc w:val="right"/>
        <w:rPr>
          <w:b/>
          <w:sz w:val="48"/>
          <w:szCs w:val="48"/>
        </w:rPr>
      </w:pPr>
      <w:r w:rsidRPr="00447253">
        <w:rPr>
          <w:b/>
          <w:sz w:val="48"/>
          <w:szCs w:val="48"/>
        </w:rPr>
        <w:t xml:space="preserve">Revision </w:t>
      </w:r>
      <w:bookmarkEnd w:id="1"/>
      <w:r w:rsidR="00881609">
        <w:rPr>
          <w:b/>
          <w:sz w:val="48"/>
          <w:szCs w:val="48"/>
        </w:rPr>
        <w:t>3</w:t>
      </w:r>
    </w:p>
    <w:p w:rsidR="002E577E" w:rsidRDefault="002E577E" w:rsidP="002E577E">
      <w:pPr>
        <w:jc w:val="right"/>
        <w:rPr>
          <w:b/>
          <w:sz w:val="48"/>
          <w:szCs w:val="48"/>
        </w:rPr>
      </w:pPr>
    </w:p>
    <w:p w:rsidR="002E577E" w:rsidRPr="00447253" w:rsidRDefault="002E577E" w:rsidP="002E577E">
      <w:pPr>
        <w:jc w:val="right"/>
        <w:rPr>
          <w:b/>
          <w:sz w:val="48"/>
          <w:szCs w:val="48"/>
        </w:rPr>
      </w:pPr>
    </w:p>
    <w:p w:rsidR="002E577E" w:rsidRPr="00001B9C" w:rsidRDefault="002E577E" w:rsidP="002E577E">
      <w:pPr>
        <w:rPr>
          <w:color w:val="FF0000"/>
        </w:rPr>
      </w:pPr>
    </w:p>
    <w:p w:rsidR="002E577E" w:rsidRPr="007F5767" w:rsidRDefault="002E577E" w:rsidP="002E577E">
      <w:pPr>
        <w:pBdr>
          <w:bottom w:val="single" w:sz="4" w:space="1" w:color="auto"/>
        </w:pBdr>
        <w:rPr>
          <w:b/>
          <w:sz w:val="36"/>
          <w:szCs w:val="36"/>
        </w:rPr>
      </w:pPr>
      <w:r w:rsidRPr="007F5767">
        <w:rPr>
          <w:b/>
          <w:sz w:val="36"/>
          <w:szCs w:val="36"/>
        </w:rPr>
        <w:t>Pacific Gas &amp; Electric Company</w:t>
      </w:r>
    </w:p>
    <w:p w:rsidR="002E577E" w:rsidRPr="007F5767" w:rsidRDefault="002E577E" w:rsidP="002E577E">
      <w:pPr>
        <w:rPr>
          <w:b/>
          <w:sz w:val="32"/>
          <w:szCs w:val="32"/>
        </w:rPr>
      </w:pPr>
      <w:r w:rsidRPr="007F5767">
        <w:rPr>
          <w:b/>
          <w:sz w:val="32"/>
          <w:szCs w:val="32"/>
        </w:rPr>
        <w:t xml:space="preserve">Customer Energy Solutions </w:t>
      </w: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E80AFB" w:rsidRDefault="00E80AFB" w:rsidP="00E80AFB">
      <w:pPr>
        <w:rPr>
          <w:b/>
          <w:sz w:val="72"/>
          <w:szCs w:val="72"/>
        </w:rPr>
      </w:pPr>
      <w:r>
        <w:rPr>
          <w:b/>
          <w:sz w:val="72"/>
          <w:szCs w:val="72"/>
        </w:rPr>
        <w:t>Variable Frequency Drives on Agricultural Pumps</w:t>
      </w:r>
    </w:p>
    <w:p w:rsidR="002E577E" w:rsidRPr="00687FA7" w:rsidRDefault="00E80AFB" w:rsidP="00E80AFB">
      <w:pPr>
        <w:ind w:right="-720"/>
        <w:rPr>
          <w:b/>
          <w:sz w:val="24"/>
          <w:szCs w:val="24"/>
        </w:rPr>
      </w:pPr>
      <w:r>
        <w:rPr>
          <w:b/>
          <w:szCs w:val="72"/>
        </w:rPr>
        <w:t>Measure Codes: IR006, IR007</w:t>
      </w:r>
    </w:p>
    <w:p w:rsidR="00292BCA" w:rsidRPr="00687FA7" w:rsidRDefault="00292BCA" w:rsidP="00E35EAA">
      <w:pPr>
        <w:rPr>
          <w:sz w:val="24"/>
          <w:szCs w:val="24"/>
        </w:rPr>
      </w:pPr>
    </w:p>
    <w:p w:rsidR="00292BCA" w:rsidRPr="00687FA7" w:rsidRDefault="00292BCA" w:rsidP="00E35EAA">
      <w:pPr>
        <w:rPr>
          <w:sz w:val="24"/>
          <w:szCs w:val="24"/>
        </w:rPr>
      </w:pPr>
    </w:p>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1E2E5B" w:rsidRDefault="00881609" w:rsidP="000C4442">
      <w:pPr>
        <w:jc w:val="right"/>
        <w:sectPr w:rsidR="001E2E5B" w:rsidSect="00E03431">
          <w:headerReference w:type="even" r:id="rId9"/>
          <w:headerReference w:type="default" r:id="rId10"/>
          <w:footerReference w:type="even" r:id="rId11"/>
          <w:headerReference w:type="first" r:id="rId12"/>
          <w:footerReference w:type="first" r:id="rId13"/>
          <w:endnotePr>
            <w:numFmt w:val="decimal"/>
          </w:endnotePr>
          <w:pgSz w:w="12240" w:h="15840"/>
          <w:pgMar w:top="1440" w:right="1440" w:bottom="1440" w:left="1440" w:header="720" w:footer="720" w:gutter="0"/>
          <w:pgNumType w:fmt="lowerRoman"/>
          <w:cols w:space="720"/>
          <w:docGrid w:linePitch="360"/>
        </w:sectPr>
      </w:pPr>
      <w:bookmarkStart w:id="2" w:name="_Toc326239204"/>
      <w:r>
        <w:t>4</w:t>
      </w:r>
      <w:r w:rsidR="00102388">
        <w:t>/1/201</w:t>
      </w:r>
      <w:r>
        <w:t>7</w:t>
      </w:r>
    </w:p>
    <w:p w:rsidR="0012438D" w:rsidRDefault="0012438D" w:rsidP="00987786">
      <w:pPr>
        <w:pStyle w:val="Heading1"/>
        <w:spacing w:before="0"/>
      </w:pPr>
      <w:bookmarkStart w:id="3" w:name="_Toc447098716"/>
      <w:r>
        <w:lastRenderedPageBreak/>
        <w:t>At-A-Glance Summary</w:t>
      </w:r>
      <w:bookmarkEnd w:id="2"/>
      <w:r w:rsidR="00F17794">
        <w:t xml:space="preserve"> Table</w:t>
      </w:r>
      <w:bookmarkEnd w:id="3"/>
    </w:p>
    <w:p w:rsidR="00B611E6" w:rsidRPr="00987786" w:rsidRDefault="00B611E6" w:rsidP="00B611E6">
      <w:pPr>
        <w:rPr>
          <w:sz w:val="16"/>
          <w:szCs w:val="16"/>
        </w:rPr>
      </w:pPr>
    </w:p>
    <w:tbl>
      <w:tblPr>
        <w:tblW w:w="5000" w:type="pct"/>
        <w:tblBorders>
          <w:insideH w:val="single" w:sz="18" w:space="0" w:color="FFFFFF"/>
          <w:insideV w:val="single" w:sz="18" w:space="0" w:color="FFFFFF"/>
        </w:tblBorders>
        <w:tblLook w:val="01E0" w:firstRow="1" w:lastRow="1" w:firstColumn="1" w:lastColumn="1" w:noHBand="0" w:noVBand="0"/>
      </w:tblPr>
      <w:tblGrid>
        <w:gridCol w:w="2506"/>
        <w:gridCol w:w="3535"/>
        <w:gridCol w:w="3535"/>
      </w:tblGrid>
      <w:tr w:rsidR="00064F46" w:rsidRPr="00805161" w:rsidTr="00064F46">
        <w:trPr>
          <w:trHeight w:val="465"/>
        </w:trPr>
        <w:tc>
          <w:tcPr>
            <w:tcW w:w="1308" w:type="pct"/>
            <w:shd w:val="pct20" w:color="000000" w:fill="FFFFFF"/>
          </w:tcPr>
          <w:p w:rsidR="00064F46" w:rsidRPr="00AD7A0D" w:rsidRDefault="00064F46" w:rsidP="00E35EAA">
            <w:pPr>
              <w:rPr>
                <w:b/>
              </w:rPr>
            </w:pPr>
            <w:r w:rsidRPr="00AD7A0D">
              <w:rPr>
                <w:b/>
              </w:rPr>
              <w:t>Applicable Measure Codes:</w:t>
            </w:r>
          </w:p>
        </w:tc>
        <w:tc>
          <w:tcPr>
            <w:tcW w:w="1846" w:type="pct"/>
            <w:shd w:val="pct20" w:color="000000" w:fill="FFFFFF"/>
            <w:vAlign w:val="center"/>
          </w:tcPr>
          <w:p w:rsidR="00064F46" w:rsidRPr="00AD7A0D" w:rsidRDefault="00064F46" w:rsidP="000062B2">
            <w:pPr>
              <w:jc w:val="center"/>
              <w:rPr>
                <w:b/>
              </w:rPr>
            </w:pPr>
            <w:r w:rsidRPr="00AD7A0D">
              <w:rPr>
                <w:b/>
              </w:rPr>
              <w:t>IR00</w:t>
            </w:r>
            <w:r>
              <w:rPr>
                <w:b/>
              </w:rPr>
              <w:t>6</w:t>
            </w:r>
          </w:p>
        </w:tc>
        <w:tc>
          <w:tcPr>
            <w:tcW w:w="1846" w:type="pct"/>
            <w:shd w:val="pct20" w:color="000000" w:fill="FFFFFF"/>
            <w:vAlign w:val="center"/>
          </w:tcPr>
          <w:p w:rsidR="00064F46" w:rsidRPr="00AD7A0D" w:rsidRDefault="00064F46" w:rsidP="000062B2">
            <w:pPr>
              <w:jc w:val="center"/>
              <w:rPr>
                <w:b/>
              </w:rPr>
            </w:pPr>
            <w:r w:rsidRPr="00AD7A0D">
              <w:rPr>
                <w:b/>
              </w:rPr>
              <w:t>IR00</w:t>
            </w:r>
            <w:r>
              <w:rPr>
                <w:b/>
              </w:rPr>
              <w:t>7</w:t>
            </w:r>
          </w:p>
        </w:tc>
      </w:tr>
      <w:tr w:rsidR="00064F46" w:rsidRPr="00805161" w:rsidTr="00064F46">
        <w:trPr>
          <w:trHeight w:val="465"/>
        </w:trPr>
        <w:tc>
          <w:tcPr>
            <w:tcW w:w="1308" w:type="pct"/>
            <w:shd w:val="pct5" w:color="000000" w:fill="FFFFFF"/>
            <w:vAlign w:val="center"/>
          </w:tcPr>
          <w:p w:rsidR="00064F46" w:rsidRPr="00987786" w:rsidRDefault="00064F46" w:rsidP="000062B2">
            <w:pPr>
              <w:rPr>
                <w:sz w:val="18"/>
                <w:szCs w:val="18"/>
              </w:rPr>
            </w:pPr>
            <w:r w:rsidRPr="00987786">
              <w:rPr>
                <w:sz w:val="18"/>
                <w:szCs w:val="18"/>
              </w:rPr>
              <w:t xml:space="preserve">Measure Description: </w:t>
            </w:r>
          </w:p>
        </w:tc>
        <w:tc>
          <w:tcPr>
            <w:tcW w:w="1846" w:type="pct"/>
            <w:shd w:val="pct5" w:color="000000" w:fill="FFFFFF"/>
            <w:vAlign w:val="center"/>
          </w:tcPr>
          <w:p w:rsidR="00064F46" w:rsidRPr="00987786" w:rsidRDefault="00064F46" w:rsidP="000062B2">
            <w:pPr>
              <w:rPr>
                <w:sz w:val="17"/>
                <w:szCs w:val="17"/>
              </w:rPr>
            </w:pPr>
            <w:r w:rsidRPr="00987786">
              <w:rPr>
                <w:sz w:val="17"/>
                <w:szCs w:val="17"/>
              </w:rPr>
              <w:t>VFD ON AG WELL PUMPS (&lt;=300HP)</w:t>
            </w:r>
          </w:p>
          <w:p w:rsidR="00064F46" w:rsidRPr="00987786" w:rsidRDefault="00064F46" w:rsidP="000062B2">
            <w:pPr>
              <w:rPr>
                <w:sz w:val="17"/>
                <w:szCs w:val="17"/>
              </w:rPr>
            </w:pPr>
            <w:r w:rsidRPr="00987786">
              <w:rPr>
                <w:sz w:val="17"/>
                <w:szCs w:val="17"/>
              </w:rPr>
              <w:t>This measure involves installing a variable frequency drive (VFD) on an agricultural well pump used for irrigation purposes in place of throttling the flow.</w:t>
            </w:r>
          </w:p>
        </w:tc>
        <w:tc>
          <w:tcPr>
            <w:tcW w:w="1846" w:type="pct"/>
            <w:shd w:val="pct5" w:color="000000" w:fill="FFFFFF"/>
            <w:vAlign w:val="center"/>
          </w:tcPr>
          <w:p w:rsidR="00064F46" w:rsidRPr="00987786" w:rsidRDefault="00064F46" w:rsidP="000062B2">
            <w:pPr>
              <w:rPr>
                <w:sz w:val="17"/>
                <w:szCs w:val="17"/>
              </w:rPr>
            </w:pPr>
            <w:r w:rsidRPr="00987786">
              <w:rPr>
                <w:sz w:val="17"/>
                <w:szCs w:val="17"/>
              </w:rPr>
              <w:t>VFD ON AG BOOSTER PUMPS (&lt;=150HP)</w:t>
            </w:r>
          </w:p>
          <w:p w:rsidR="00064F46" w:rsidRPr="00987786" w:rsidRDefault="00064F46" w:rsidP="000062B2">
            <w:pPr>
              <w:rPr>
                <w:sz w:val="17"/>
                <w:szCs w:val="17"/>
              </w:rPr>
            </w:pPr>
            <w:r w:rsidRPr="00987786">
              <w:rPr>
                <w:sz w:val="17"/>
                <w:szCs w:val="17"/>
              </w:rPr>
              <w:t>This measure involves installing a variable frequency drive (VFD) on an agricultural booster pump used for irrigation purposes in place of throttling the flow.</w:t>
            </w:r>
          </w:p>
        </w:tc>
      </w:tr>
      <w:tr w:rsidR="00064F46" w:rsidRPr="00805161" w:rsidTr="00064F46">
        <w:trPr>
          <w:trHeight w:val="465"/>
        </w:trPr>
        <w:tc>
          <w:tcPr>
            <w:tcW w:w="1308" w:type="pct"/>
            <w:shd w:val="pct20" w:color="000000" w:fill="FFFFFF"/>
            <w:vAlign w:val="center"/>
          </w:tcPr>
          <w:p w:rsidR="00064F46" w:rsidRPr="00987786" w:rsidRDefault="00064F46" w:rsidP="000062B2">
            <w:pPr>
              <w:rPr>
                <w:sz w:val="18"/>
                <w:szCs w:val="18"/>
              </w:rPr>
            </w:pPr>
            <w:r w:rsidRPr="00987786">
              <w:rPr>
                <w:sz w:val="18"/>
                <w:szCs w:val="18"/>
              </w:rPr>
              <w:t xml:space="preserve">Energy Impact Common Units: </w:t>
            </w:r>
          </w:p>
        </w:tc>
        <w:tc>
          <w:tcPr>
            <w:tcW w:w="1846" w:type="pct"/>
            <w:shd w:val="pct20" w:color="000000" w:fill="FFFFFF"/>
            <w:vAlign w:val="center"/>
          </w:tcPr>
          <w:p w:rsidR="00064F46" w:rsidRPr="00987786" w:rsidRDefault="00064F46" w:rsidP="000062B2">
            <w:pPr>
              <w:rPr>
                <w:sz w:val="17"/>
                <w:szCs w:val="17"/>
              </w:rPr>
            </w:pPr>
            <w:r w:rsidRPr="00987786">
              <w:rPr>
                <w:sz w:val="17"/>
                <w:szCs w:val="17"/>
              </w:rPr>
              <w:t>per rated pump hp</w:t>
            </w:r>
          </w:p>
        </w:tc>
        <w:tc>
          <w:tcPr>
            <w:tcW w:w="1846" w:type="pct"/>
            <w:shd w:val="pct20" w:color="000000" w:fill="FFFFFF"/>
            <w:vAlign w:val="center"/>
          </w:tcPr>
          <w:p w:rsidR="00064F46" w:rsidRPr="00987786" w:rsidRDefault="00064F46" w:rsidP="000062B2">
            <w:pPr>
              <w:rPr>
                <w:sz w:val="17"/>
                <w:szCs w:val="17"/>
              </w:rPr>
            </w:pPr>
            <w:r w:rsidRPr="00987786">
              <w:rPr>
                <w:sz w:val="17"/>
                <w:szCs w:val="17"/>
              </w:rPr>
              <w:t>per rated pump hp</w:t>
            </w:r>
          </w:p>
        </w:tc>
      </w:tr>
      <w:tr w:rsidR="00064F46" w:rsidRPr="00805161" w:rsidTr="00064F46">
        <w:trPr>
          <w:trHeight w:val="465"/>
        </w:trPr>
        <w:tc>
          <w:tcPr>
            <w:tcW w:w="1308" w:type="pct"/>
            <w:shd w:val="pct5" w:color="000000" w:fill="FFFFFF"/>
            <w:vAlign w:val="center"/>
          </w:tcPr>
          <w:p w:rsidR="00064F46" w:rsidRPr="00987786" w:rsidRDefault="00064F46" w:rsidP="000062B2">
            <w:pPr>
              <w:rPr>
                <w:sz w:val="18"/>
                <w:szCs w:val="18"/>
              </w:rPr>
            </w:pPr>
            <w:r w:rsidRPr="00987786">
              <w:rPr>
                <w:sz w:val="18"/>
                <w:szCs w:val="18"/>
              </w:rPr>
              <w:t>Base Case Description:</w:t>
            </w:r>
          </w:p>
        </w:tc>
        <w:tc>
          <w:tcPr>
            <w:tcW w:w="1846" w:type="pct"/>
            <w:shd w:val="pct5" w:color="000000" w:fill="FFFFFF"/>
            <w:vAlign w:val="center"/>
          </w:tcPr>
          <w:p w:rsidR="00064F46" w:rsidRPr="00987786" w:rsidRDefault="00064F46" w:rsidP="000062B2">
            <w:pPr>
              <w:rPr>
                <w:sz w:val="17"/>
                <w:szCs w:val="17"/>
              </w:rPr>
            </w:pPr>
            <w:r w:rsidRPr="00987786">
              <w:rPr>
                <w:sz w:val="17"/>
                <w:szCs w:val="17"/>
              </w:rPr>
              <w:t>Source:  CEC-500-2011-049.</w:t>
            </w:r>
          </w:p>
          <w:p w:rsidR="00064F46" w:rsidRPr="00987786" w:rsidRDefault="00064F46" w:rsidP="000062B2">
            <w:pPr>
              <w:rPr>
                <w:sz w:val="17"/>
                <w:szCs w:val="17"/>
              </w:rPr>
            </w:pPr>
            <w:r w:rsidRPr="00987786">
              <w:rPr>
                <w:sz w:val="17"/>
                <w:szCs w:val="17"/>
              </w:rPr>
              <w:t xml:space="preserve">Majority of pumps do not operate with VFD control.  </w:t>
            </w:r>
          </w:p>
        </w:tc>
        <w:tc>
          <w:tcPr>
            <w:tcW w:w="1846" w:type="pct"/>
            <w:shd w:val="pct5" w:color="000000" w:fill="FFFFFF"/>
            <w:vAlign w:val="center"/>
          </w:tcPr>
          <w:p w:rsidR="00064F46" w:rsidRPr="00987786" w:rsidRDefault="00064F46" w:rsidP="000062B2">
            <w:pPr>
              <w:rPr>
                <w:sz w:val="17"/>
                <w:szCs w:val="17"/>
              </w:rPr>
            </w:pPr>
            <w:r w:rsidRPr="00987786">
              <w:rPr>
                <w:sz w:val="17"/>
                <w:szCs w:val="17"/>
              </w:rPr>
              <w:t>Source:  CEC-500-2011-049.</w:t>
            </w:r>
          </w:p>
          <w:p w:rsidR="00064F46" w:rsidRPr="00987786" w:rsidRDefault="00064F46" w:rsidP="000062B2">
            <w:pPr>
              <w:rPr>
                <w:sz w:val="17"/>
                <w:szCs w:val="17"/>
              </w:rPr>
            </w:pPr>
            <w:r w:rsidRPr="00987786">
              <w:rPr>
                <w:sz w:val="17"/>
                <w:szCs w:val="17"/>
              </w:rPr>
              <w:t xml:space="preserve">Majority of pumps do not operate with VFD control.  </w:t>
            </w:r>
          </w:p>
        </w:tc>
      </w:tr>
      <w:tr w:rsidR="00064F46" w:rsidRPr="00805161" w:rsidTr="00064F46">
        <w:trPr>
          <w:trHeight w:val="465"/>
        </w:trPr>
        <w:tc>
          <w:tcPr>
            <w:tcW w:w="1308" w:type="pct"/>
            <w:shd w:val="clear" w:color="auto" w:fill="BFBFBF" w:themeFill="background1" w:themeFillShade="BF"/>
            <w:vAlign w:val="center"/>
          </w:tcPr>
          <w:p w:rsidR="00064F46" w:rsidRPr="00987786" w:rsidRDefault="00064F46" w:rsidP="000062B2">
            <w:pPr>
              <w:rPr>
                <w:sz w:val="18"/>
                <w:szCs w:val="18"/>
              </w:rPr>
            </w:pPr>
            <w:r w:rsidRPr="00987786">
              <w:rPr>
                <w:sz w:val="18"/>
                <w:szCs w:val="18"/>
              </w:rPr>
              <w:t xml:space="preserve">Base Case Energy Consumption: </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1,490.25 kWh/hp and 0.7019 kW/hp</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1,300.74 kWh/hp and 0.6563 kW/hp</w:t>
            </w:r>
          </w:p>
        </w:tc>
      </w:tr>
      <w:tr w:rsidR="00064F46" w:rsidRPr="00805161" w:rsidTr="00064F46">
        <w:trPr>
          <w:trHeight w:val="452"/>
        </w:trPr>
        <w:tc>
          <w:tcPr>
            <w:tcW w:w="1308" w:type="pct"/>
            <w:shd w:val="clear" w:color="auto" w:fill="F2F2F2" w:themeFill="background1" w:themeFillShade="F2"/>
            <w:vAlign w:val="center"/>
          </w:tcPr>
          <w:p w:rsidR="00064F46" w:rsidRPr="00987786" w:rsidRDefault="00064F46" w:rsidP="000062B2">
            <w:pPr>
              <w:rPr>
                <w:sz w:val="18"/>
                <w:szCs w:val="18"/>
              </w:rPr>
            </w:pPr>
            <w:r w:rsidRPr="00987786">
              <w:rPr>
                <w:sz w:val="18"/>
                <w:szCs w:val="18"/>
              </w:rPr>
              <w:t>Measure Energy Consumption:</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1,233.65 kWh/hp and 0.5812 kW/hp</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1,073.62 kWh/hp and 0.5343 kW/hp</w:t>
            </w:r>
          </w:p>
        </w:tc>
      </w:tr>
      <w:tr w:rsidR="00064F46" w:rsidRPr="00805161" w:rsidTr="00064F46">
        <w:trPr>
          <w:trHeight w:val="452"/>
        </w:trPr>
        <w:tc>
          <w:tcPr>
            <w:tcW w:w="1308" w:type="pct"/>
            <w:shd w:val="clear" w:color="auto" w:fill="BFBFBF" w:themeFill="background1" w:themeFillShade="BF"/>
            <w:vAlign w:val="center"/>
          </w:tcPr>
          <w:p w:rsidR="00064F46" w:rsidRPr="00987786" w:rsidRDefault="00064F46" w:rsidP="000062B2">
            <w:pPr>
              <w:rPr>
                <w:sz w:val="18"/>
                <w:szCs w:val="18"/>
              </w:rPr>
            </w:pPr>
            <w:r w:rsidRPr="00987786">
              <w:rPr>
                <w:sz w:val="18"/>
                <w:szCs w:val="18"/>
              </w:rPr>
              <w:t>Energy Savings (Base Case – Measure)</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256.60 kWh/hp and 0.1207 kW/hp</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226.65 kWh/hp and 0.1220 kW/hp</w:t>
            </w:r>
          </w:p>
        </w:tc>
      </w:tr>
      <w:tr w:rsidR="00064F46" w:rsidRPr="00805161" w:rsidTr="00064F46">
        <w:trPr>
          <w:trHeight w:val="387"/>
        </w:trPr>
        <w:tc>
          <w:tcPr>
            <w:tcW w:w="1308" w:type="pct"/>
            <w:shd w:val="clear" w:color="auto" w:fill="F2F2F2" w:themeFill="background1" w:themeFillShade="F2"/>
            <w:vAlign w:val="center"/>
          </w:tcPr>
          <w:p w:rsidR="00064F46" w:rsidRPr="00987786" w:rsidRDefault="00064F46" w:rsidP="000062B2">
            <w:pPr>
              <w:rPr>
                <w:sz w:val="18"/>
                <w:szCs w:val="18"/>
              </w:rPr>
            </w:pPr>
            <w:r w:rsidRPr="00987786">
              <w:rPr>
                <w:sz w:val="18"/>
                <w:szCs w:val="18"/>
              </w:rPr>
              <w:t xml:space="preserve">Costs Common Units: </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Cost per hp</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Cost per hp</w:t>
            </w:r>
          </w:p>
        </w:tc>
      </w:tr>
      <w:tr w:rsidR="00064F46" w:rsidRPr="00805161" w:rsidTr="00064F46">
        <w:trPr>
          <w:trHeight w:val="452"/>
        </w:trPr>
        <w:tc>
          <w:tcPr>
            <w:tcW w:w="1308" w:type="pct"/>
            <w:shd w:val="clear" w:color="auto" w:fill="BFBFBF" w:themeFill="background1" w:themeFillShade="BF"/>
            <w:vAlign w:val="center"/>
          </w:tcPr>
          <w:p w:rsidR="00064F46" w:rsidRPr="00987786" w:rsidRDefault="00064F46" w:rsidP="000062B2">
            <w:pPr>
              <w:rPr>
                <w:sz w:val="18"/>
                <w:szCs w:val="18"/>
              </w:rPr>
            </w:pPr>
            <w:r w:rsidRPr="00987786">
              <w:rPr>
                <w:sz w:val="18"/>
                <w:szCs w:val="18"/>
              </w:rPr>
              <w:t>Base Case Equipment Cost ($/unit):</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Existing equipment.</w:t>
            </w:r>
          </w:p>
          <w:p w:rsidR="00064F46" w:rsidRPr="00987786" w:rsidRDefault="00064F46" w:rsidP="000062B2">
            <w:pPr>
              <w:rPr>
                <w:sz w:val="17"/>
                <w:szCs w:val="17"/>
              </w:rPr>
            </w:pPr>
            <w:r w:rsidRPr="00987786">
              <w:rPr>
                <w:sz w:val="17"/>
                <w:szCs w:val="17"/>
              </w:rPr>
              <w:t>$0.0</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Existing equipment.</w:t>
            </w:r>
          </w:p>
          <w:p w:rsidR="00064F46" w:rsidRPr="00987786" w:rsidRDefault="00064F46" w:rsidP="000062B2">
            <w:pPr>
              <w:rPr>
                <w:sz w:val="17"/>
                <w:szCs w:val="17"/>
              </w:rPr>
            </w:pPr>
            <w:r w:rsidRPr="00987786">
              <w:rPr>
                <w:sz w:val="17"/>
                <w:szCs w:val="17"/>
              </w:rPr>
              <w:t>$0.0</w:t>
            </w:r>
          </w:p>
        </w:tc>
      </w:tr>
      <w:tr w:rsidR="00064F46" w:rsidRPr="00805161" w:rsidTr="00064F46">
        <w:trPr>
          <w:trHeight w:val="452"/>
        </w:trPr>
        <w:tc>
          <w:tcPr>
            <w:tcW w:w="1308" w:type="pct"/>
            <w:shd w:val="clear" w:color="auto" w:fill="F2F2F2" w:themeFill="background1" w:themeFillShade="F2"/>
            <w:vAlign w:val="center"/>
          </w:tcPr>
          <w:p w:rsidR="00064F46" w:rsidRPr="00987786" w:rsidRDefault="00064F46" w:rsidP="000062B2">
            <w:pPr>
              <w:rPr>
                <w:sz w:val="18"/>
                <w:szCs w:val="18"/>
              </w:rPr>
            </w:pPr>
            <w:r w:rsidRPr="00987786">
              <w:rPr>
                <w:sz w:val="18"/>
                <w:szCs w:val="18"/>
              </w:rPr>
              <w:t xml:space="preserve">Measure Equipment Cost ($/unit): </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$189/hp</w:t>
            </w:r>
          </w:p>
          <w:p w:rsidR="00064F46" w:rsidRPr="00987786" w:rsidRDefault="00064F4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$201/hp</w:t>
            </w:r>
          </w:p>
          <w:p w:rsidR="00064F46" w:rsidRPr="00987786" w:rsidRDefault="00064F4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064F46" w:rsidRPr="00805161" w:rsidTr="00064F46">
        <w:trPr>
          <w:trHeight w:val="783"/>
        </w:trPr>
        <w:tc>
          <w:tcPr>
            <w:tcW w:w="1308" w:type="pct"/>
            <w:shd w:val="clear" w:color="auto" w:fill="BFBFBF" w:themeFill="background1" w:themeFillShade="BF"/>
            <w:vAlign w:val="center"/>
          </w:tcPr>
          <w:p w:rsidR="00064F46" w:rsidRPr="00987786" w:rsidRDefault="00064F46" w:rsidP="000062B2">
            <w:pPr>
              <w:rPr>
                <w:sz w:val="18"/>
                <w:szCs w:val="18"/>
              </w:rPr>
            </w:pPr>
            <w:bookmarkStart w:id="4" w:name="OLE_LINK1"/>
            <w:r w:rsidRPr="00987786">
              <w:rPr>
                <w:sz w:val="18"/>
                <w:szCs w:val="18"/>
              </w:rPr>
              <w:t xml:space="preserve">Measure Incremental Cost ($/unit): </w:t>
            </w:r>
            <w:bookmarkEnd w:id="4"/>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$189/hp</w:t>
            </w:r>
          </w:p>
          <w:p w:rsidR="00064F46" w:rsidRPr="00987786" w:rsidRDefault="00064F4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$201/hp</w:t>
            </w:r>
          </w:p>
          <w:p w:rsidR="00064F46" w:rsidRPr="00987786" w:rsidRDefault="00064F4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064F46" w:rsidRPr="00805161" w:rsidTr="00064F46">
        <w:trPr>
          <w:trHeight w:val="420"/>
        </w:trPr>
        <w:tc>
          <w:tcPr>
            <w:tcW w:w="1308" w:type="pct"/>
            <w:vMerge w:val="restart"/>
            <w:shd w:val="clear" w:color="auto" w:fill="F2F2F2" w:themeFill="background1" w:themeFillShade="F2"/>
            <w:vAlign w:val="center"/>
          </w:tcPr>
          <w:p w:rsidR="00064F46" w:rsidRPr="00987786" w:rsidRDefault="00064F46" w:rsidP="000062B2">
            <w:pPr>
              <w:rPr>
                <w:sz w:val="18"/>
                <w:szCs w:val="18"/>
              </w:rPr>
            </w:pPr>
            <w:r w:rsidRPr="00987786">
              <w:rPr>
                <w:sz w:val="18"/>
                <w:szCs w:val="18"/>
              </w:rPr>
              <w:t xml:space="preserve">Effective Useful Life (years): </w:t>
            </w:r>
          </w:p>
        </w:tc>
        <w:tc>
          <w:tcPr>
            <w:tcW w:w="1846" w:type="pct"/>
            <w:shd w:val="clear" w:color="auto" w:fill="F2F2F2" w:themeFill="background1" w:themeFillShade="F2"/>
            <w:vAlign w:val="center"/>
          </w:tcPr>
          <w:p w:rsidR="00064F46" w:rsidRPr="00987786" w:rsidRDefault="00064F46" w:rsidP="00AD7A0D">
            <w:pPr>
              <w:jc w:val="center"/>
              <w:rPr>
                <w:sz w:val="17"/>
                <w:szCs w:val="17"/>
              </w:rPr>
            </w:pPr>
            <w:r w:rsidRPr="00987786">
              <w:rPr>
                <w:sz w:val="17"/>
                <w:szCs w:val="17"/>
              </w:rPr>
              <w:t>10 years</w:t>
            </w:r>
          </w:p>
        </w:tc>
        <w:tc>
          <w:tcPr>
            <w:tcW w:w="1846" w:type="pct"/>
            <w:shd w:val="clear" w:color="auto" w:fill="F2F2F2" w:themeFill="background1" w:themeFillShade="F2"/>
            <w:vAlign w:val="center"/>
          </w:tcPr>
          <w:p w:rsidR="00064F46" w:rsidRPr="00987786" w:rsidRDefault="00064F46" w:rsidP="00AD7A0D">
            <w:pPr>
              <w:jc w:val="center"/>
              <w:rPr>
                <w:sz w:val="17"/>
                <w:szCs w:val="17"/>
              </w:rPr>
            </w:pPr>
            <w:r w:rsidRPr="00987786">
              <w:rPr>
                <w:sz w:val="17"/>
                <w:szCs w:val="17"/>
              </w:rPr>
              <w:t>10 years</w:t>
            </w:r>
          </w:p>
        </w:tc>
      </w:tr>
      <w:tr w:rsidR="00064F46" w:rsidRPr="00805161" w:rsidTr="00064F46">
        <w:trPr>
          <w:gridAfter w:val="2"/>
          <w:wAfter w:w="3692" w:type="pct"/>
          <w:trHeight w:val="411"/>
        </w:trPr>
        <w:tc>
          <w:tcPr>
            <w:tcW w:w="1308" w:type="pct"/>
            <w:vMerge/>
            <w:shd w:val="clear" w:color="auto" w:fill="F2F2F2" w:themeFill="background1" w:themeFillShade="F2"/>
            <w:vAlign w:val="center"/>
          </w:tcPr>
          <w:p w:rsidR="00064F46" w:rsidRPr="000F13FB" w:rsidRDefault="00064F46" w:rsidP="000062B2"/>
        </w:tc>
      </w:tr>
      <w:tr w:rsidR="00064F46" w:rsidRPr="00805161" w:rsidTr="00064F46">
        <w:trPr>
          <w:trHeight w:val="472"/>
        </w:trPr>
        <w:tc>
          <w:tcPr>
            <w:tcW w:w="1308" w:type="pct"/>
            <w:shd w:val="clear" w:color="auto" w:fill="BFBFBF" w:themeFill="background1" w:themeFillShade="BF"/>
            <w:vAlign w:val="center"/>
          </w:tcPr>
          <w:p w:rsidR="00064F46" w:rsidRPr="00987786" w:rsidRDefault="00064F46" w:rsidP="000062B2">
            <w:pPr>
              <w:rPr>
                <w:sz w:val="18"/>
                <w:szCs w:val="18"/>
              </w:rPr>
            </w:pPr>
            <w:r w:rsidRPr="00987786">
              <w:rPr>
                <w:sz w:val="18"/>
                <w:szCs w:val="18"/>
              </w:rPr>
              <w:t>Program Type:</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Retrofit Add-On (REA)</w:t>
            </w:r>
            <w:r>
              <w:rPr>
                <w:sz w:val="17"/>
                <w:szCs w:val="17"/>
              </w:rPr>
              <w:t>, New Construction (NC)</w:t>
            </w:r>
            <w:r w:rsidRPr="00987786">
              <w:rPr>
                <w:sz w:val="17"/>
                <w:szCs w:val="17"/>
              </w:rPr>
              <w:t xml:space="preserve"> </w:t>
            </w:r>
          </w:p>
        </w:tc>
        <w:tc>
          <w:tcPr>
            <w:tcW w:w="1846" w:type="pct"/>
            <w:shd w:val="clear" w:color="auto" w:fill="BFBFBF" w:themeFill="background1" w:themeFillShade="BF"/>
            <w:vAlign w:val="center"/>
          </w:tcPr>
          <w:p w:rsidR="00064F46" w:rsidRPr="00987786" w:rsidRDefault="00064F46" w:rsidP="000062B2">
            <w:pPr>
              <w:rPr>
                <w:sz w:val="17"/>
                <w:szCs w:val="17"/>
              </w:rPr>
            </w:pPr>
            <w:r w:rsidRPr="00987786">
              <w:rPr>
                <w:sz w:val="17"/>
                <w:szCs w:val="17"/>
              </w:rPr>
              <w:t>Retrofit Add-On (REA)</w:t>
            </w:r>
            <w:r>
              <w:rPr>
                <w:sz w:val="17"/>
                <w:szCs w:val="17"/>
              </w:rPr>
              <w:t>, New Construction (NC)</w:t>
            </w:r>
          </w:p>
        </w:tc>
      </w:tr>
      <w:tr w:rsidR="00064F46" w:rsidRPr="00805161" w:rsidTr="00064F46">
        <w:trPr>
          <w:trHeight w:val="567"/>
        </w:trPr>
        <w:tc>
          <w:tcPr>
            <w:tcW w:w="1308" w:type="pct"/>
            <w:shd w:val="clear" w:color="auto" w:fill="F2F2F2" w:themeFill="background1" w:themeFillShade="F2"/>
            <w:vAlign w:val="center"/>
          </w:tcPr>
          <w:p w:rsidR="00064F46" w:rsidRPr="00987786" w:rsidRDefault="00064F46" w:rsidP="000062B2">
            <w:pPr>
              <w:rPr>
                <w:sz w:val="18"/>
                <w:szCs w:val="18"/>
              </w:rPr>
            </w:pPr>
            <w:r w:rsidRPr="00987786">
              <w:rPr>
                <w:sz w:val="18"/>
                <w:szCs w:val="18"/>
              </w:rPr>
              <w:t xml:space="preserve">Net-to-Gross (NTG) Ratio: </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 xml:space="preserve">Source:  DEER 2014: </w:t>
            </w:r>
          </w:p>
          <w:p w:rsidR="00064F46" w:rsidRPr="00987786" w:rsidRDefault="00064F46" w:rsidP="001531C5">
            <w:pPr>
              <w:rPr>
                <w:color w:val="FF0000"/>
                <w:sz w:val="17"/>
                <w:szCs w:val="17"/>
              </w:rPr>
            </w:pPr>
            <w:proofErr w:type="spellStart"/>
            <w:r>
              <w:rPr>
                <w:sz w:val="17"/>
                <w:szCs w:val="17"/>
              </w:rPr>
              <w:t>Agric</w:t>
            </w:r>
            <w:proofErr w:type="spellEnd"/>
            <w:r>
              <w:rPr>
                <w:sz w:val="17"/>
                <w:szCs w:val="17"/>
              </w:rPr>
              <w:t>-Default&gt;</w:t>
            </w:r>
            <w:r w:rsidRPr="00987786">
              <w:rPr>
                <w:sz w:val="17"/>
                <w:szCs w:val="17"/>
              </w:rPr>
              <w:t>2yrs: 0.</w:t>
            </w:r>
            <w:r>
              <w:rPr>
                <w:sz w:val="17"/>
                <w:szCs w:val="17"/>
              </w:rPr>
              <w:t>6</w:t>
            </w:r>
          </w:p>
        </w:tc>
        <w:tc>
          <w:tcPr>
            <w:tcW w:w="1846" w:type="pct"/>
            <w:shd w:val="clear" w:color="auto" w:fill="F2F2F2" w:themeFill="background1" w:themeFillShade="F2"/>
            <w:vAlign w:val="center"/>
          </w:tcPr>
          <w:p w:rsidR="00064F46" w:rsidRPr="00987786" w:rsidRDefault="00064F46" w:rsidP="000062B2">
            <w:pPr>
              <w:rPr>
                <w:sz w:val="17"/>
                <w:szCs w:val="17"/>
              </w:rPr>
            </w:pPr>
            <w:r w:rsidRPr="00987786">
              <w:rPr>
                <w:sz w:val="17"/>
                <w:szCs w:val="17"/>
              </w:rPr>
              <w:t xml:space="preserve">Source:  DEER 2014: </w:t>
            </w:r>
          </w:p>
          <w:p w:rsidR="00064F46" w:rsidRPr="00987786" w:rsidRDefault="00064F46" w:rsidP="000062B2">
            <w:pPr>
              <w:rPr>
                <w:sz w:val="17"/>
                <w:szCs w:val="17"/>
              </w:rPr>
            </w:pPr>
            <w:proofErr w:type="spellStart"/>
            <w:r>
              <w:rPr>
                <w:sz w:val="17"/>
                <w:szCs w:val="17"/>
              </w:rPr>
              <w:t>Agric</w:t>
            </w:r>
            <w:proofErr w:type="spellEnd"/>
            <w:r>
              <w:rPr>
                <w:sz w:val="17"/>
                <w:szCs w:val="17"/>
              </w:rPr>
              <w:t>-Default&gt;</w:t>
            </w:r>
            <w:r w:rsidRPr="00987786">
              <w:rPr>
                <w:sz w:val="17"/>
                <w:szCs w:val="17"/>
              </w:rPr>
              <w:t>2yrs</w:t>
            </w:r>
            <w:r w:rsidRPr="002A51DC">
              <w:rPr>
                <w:sz w:val="17"/>
                <w:szCs w:val="17"/>
              </w:rPr>
              <w:t>: 0.6</w:t>
            </w:r>
          </w:p>
        </w:tc>
      </w:tr>
    </w:tbl>
    <w:p w:rsidR="005F19E0" w:rsidRPr="00001B9C" w:rsidRDefault="005F19E0" w:rsidP="00AD7A0D">
      <w:pPr>
        <w:rPr>
          <w:b/>
          <w:bCs/>
        </w:rPr>
        <w:sectPr w:rsidR="005F19E0" w:rsidRPr="00001B9C" w:rsidSect="00E80AFB">
          <w:footerReference w:type="default" r:id="rId14"/>
          <w:endnotePr>
            <w:numFmt w:val="decimal"/>
          </w:endnotePr>
          <w:pgSz w:w="12240" w:h="15840"/>
          <w:pgMar w:top="1440" w:right="1440" w:bottom="1440" w:left="1440" w:header="720" w:footer="720" w:gutter="0"/>
          <w:pgNumType w:fmt="lowerRoman" w:start="1"/>
          <w:cols w:space="720"/>
          <w:docGrid w:linePitch="360"/>
        </w:sectPr>
      </w:pPr>
    </w:p>
    <w:p w:rsidR="00E71EF1" w:rsidRPr="006D73DF" w:rsidRDefault="00E71EF1" w:rsidP="00E35EAA">
      <w:pPr>
        <w:pStyle w:val="Heading1"/>
      </w:pPr>
      <w:bookmarkStart w:id="5" w:name="_Toc447098717"/>
      <w:r w:rsidRPr="006D73DF">
        <w:lastRenderedPageBreak/>
        <w:t>Document Revision History</w:t>
      </w:r>
      <w:bookmarkEnd w:id="5"/>
    </w:p>
    <w:p w:rsidR="00E91C15" w:rsidRPr="00001B9C" w:rsidRDefault="00E91C15" w:rsidP="00E35EAA">
      <w:r w:rsidRPr="00001B9C">
        <w:tab/>
      </w:r>
      <w:r w:rsidRPr="00001B9C">
        <w:tab/>
      </w:r>
      <w:r w:rsidRPr="00001B9C">
        <w:tab/>
      </w:r>
      <w:r w:rsidRPr="00001B9C">
        <w:tab/>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142"/>
        <w:gridCol w:w="3206"/>
        <w:gridCol w:w="3276"/>
      </w:tblGrid>
      <w:tr w:rsidR="000374A5" w:rsidRPr="00001B9C" w:rsidTr="00AB797B">
        <w:trPr>
          <w:trHeight w:val="464"/>
        </w:trPr>
        <w:tc>
          <w:tcPr>
            <w:tcW w:w="888" w:type="pct"/>
            <w:tcBorders>
              <w:top w:val="nil"/>
              <w:bottom w:val="single" w:sz="18" w:space="0" w:color="FFFFFF"/>
            </w:tcBorders>
            <w:shd w:val="clear" w:color="auto" w:fill="BFBFBF"/>
          </w:tcPr>
          <w:p w:rsidR="000374A5" w:rsidRPr="006D73DF" w:rsidRDefault="000374A5" w:rsidP="00E35EAA">
            <w:pPr>
              <w:rPr>
                <w:b/>
                <w:bCs/>
              </w:rPr>
            </w:pPr>
            <w:r w:rsidRPr="006D73DF">
              <w:t>Revision #</w:t>
            </w:r>
            <w:r w:rsidRPr="006D73DF">
              <w:tab/>
            </w:r>
          </w:p>
        </w:tc>
        <w:tc>
          <w:tcPr>
            <w:tcW w:w="616" w:type="pct"/>
            <w:tcBorders>
              <w:top w:val="nil"/>
              <w:bottom w:val="single" w:sz="18" w:space="0" w:color="FFFFFF"/>
            </w:tcBorders>
            <w:shd w:val="clear" w:color="auto" w:fill="BFBFBF"/>
          </w:tcPr>
          <w:p w:rsidR="000374A5" w:rsidRPr="006D73DF" w:rsidRDefault="000374A5" w:rsidP="00E35EAA">
            <w:pPr>
              <w:rPr>
                <w:b/>
                <w:bCs/>
              </w:rPr>
            </w:pPr>
            <w:r w:rsidRPr="006D73DF">
              <w:t xml:space="preserve">Date </w:t>
            </w:r>
            <w:r w:rsidRPr="006D73DF">
              <w:tab/>
            </w:r>
          </w:p>
        </w:tc>
        <w:tc>
          <w:tcPr>
            <w:tcW w:w="1729" w:type="pct"/>
            <w:tcBorders>
              <w:top w:val="nil"/>
              <w:bottom w:val="single" w:sz="18" w:space="0" w:color="FFFFFF"/>
            </w:tcBorders>
            <w:shd w:val="clear" w:color="auto" w:fill="BFBFBF"/>
          </w:tcPr>
          <w:p w:rsidR="000374A5" w:rsidRPr="006D73DF" w:rsidRDefault="000374A5" w:rsidP="00E35EAA">
            <w:pPr>
              <w:rPr>
                <w:b/>
                <w:bCs/>
              </w:rPr>
            </w:pPr>
            <w:r w:rsidRPr="006D73DF">
              <w:t>Section by Section Description of Revisions</w:t>
            </w:r>
          </w:p>
        </w:tc>
        <w:tc>
          <w:tcPr>
            <w:tcW w:w="1767" w:type="pct"/>
            <w:tcBorders>
              <w:top w:val="nil"/>
              <w:bottom w:val="single" w:sz="18" w:space="0" w:color="FFFFFF"/>
            </w:tcBorders>
            <w:shd w:val="clear" w:color="auto" w:fill="BFBFBF"/>
          </w:tcPr>
          <w:p w:rsidR="000374A5" w:rsidRPr="006D73DF" w:rsidRDefault="000374A5" w:rsidP="00E35EAA">
            <w:pPr>
              <w:rPr>
                <w:b/>
                <w:bCs/>
              </w:rPr>
            </w:pPr>
            <w:r w:rsidRPr="006D73DF">
              <w:t>Author (Company)</w:t>
            </w:r>
          </w:p>
        </w:tc>
      </w:tr>
      <w:tr w:rsidR="0068419D" w:rsidRPr="00001B9C" w:rsidTr="00AB797B">
        <w:trPr>
          <w:trHeight w:val="464"/>
        </w:trPr>
        <w:tc>
          <w:tcPr>
            <w:tcW w:w="888" w:type="pct"/>
            <w:tcBorders>
              <w:top w:val="single" w:sz="18" w:space="0" w:color="FFFFFF"/>
            </w:tcBorders>
            <w:shd w:val="clear" w:color="auto" w:fill="D9D9D9"/>
          </w:tcPr>
          <w:p w:rsidR="0068419D" w:rsidRPr="006D73DF" w:rsidRDefault="0068419D" w:rsidP="00E35EAA">
            <w:r w:rsidRPr="006D73DF">
              <w:t>Revision 0</w:t>
            </w:r>
          </w:p>
        </w:tc>
        <w:tc>
          <w:tcPr>
            <w:tcW w:w="616" w:type="pct"/>
            <w:tcBorders>
              <w:top w:val="single" w:sz="18" w:space="0" w:color="FFFFFF"/>
            </w:tcBorders>
            <w:shd w:val="clear" w:color="auto" w:fill="D9D9D9"/>
          </w:tcPr>
          <w:p w:rsidR="0068419D" w:rsidRPr="006D73DF" w:rsidRDefault="00337EB8" w:rsidP="00E35EAA">
            <w:r>
              <w:t>7/29/2014</w:t>
            </w:r>
          </w:p>
        </w:tc>
        <w:tc>
          <w:tcPr>
            <w:tcW w:w="1729" w:type="pct"/>
            <w:tcBorders>
              <w:top w:val="single" w:sz="18" w:space="0" w:color="FFFFFF"/>
            </w:tcBorders>
            <w:shd w:val="clear" w:color="auto" w:fill="D9D9D9"/>
          </w:tcPr>
          <w:p w:rsidR="000062B2" w:rsidRDefault="00D3706F" w:rsidP="000062B2">
            <w:r w:rsidRPr="006D73DF">
              <w:t xml:space="preserve">Original </w:t>
            </w:r>
            <w:r w:rsidR="000062B2">
              <w:t>Work:</w:t>
            </w:r>
          </w:p>
          <w:p w:rsidR="0068419D" w:rsidRDefault="000062B2" w:rsidP="000062B2">
            <w:r w:rsidRPr="00897B81">
              <w:t>PGE</w:t>
            </w:r>
            <w:r>
              <w:t>COAGR113</w:t>
            </w:r>
            <w:r w:rsidRPr="00897B81">
              <w:t xml:space="preserve"> R0</w:t>
            </w:r>
            <w:r>
              <w:t>.docx</w:t>
            </w:r>
            <w:r w:rsidRPr="004D7C89">
              <w:t xml:space="preserve"> </w:t>
            </w:r>
          </w:p>
          <w:p w:rsidR="000062B2" w:rsidRPr="006D73DF" w:rsidRDefault="000062B2" w:rsidP="000062B2">
            <w:r>
              <w:t>Variable Frequency Drives on Agricultural Pumps</w:t>
            </w:r>
          </w:p>
        </w:tc>
        <w:tc>
          <w:tcPr>
            <w:tcW w:w="1767" w:type="pct"/>
            <w:tcBorders>
              <w:top w:val="single" w:sz="18" w:space="0" w:color="FFFFFF"/>
            </w:tcBorders>
            <w:shd w:val="clear" w:color="auto" w:fill="D9D9D9"/>
          </w:tcPr>
          <w:p w:rsidR="00AB797B" w:rsidRDefault="000062B2" w:rsidP="00E35EAA">
            <w:r>
              <w:t>Sandra Chow</w:t>
            </w:r>
            <w:r w:rsidR="0068419D" w:rsidRPr="006D73DF">
              <w:t xml:space="preserve"> (</w:t>
            </w:r>
            <w:r w:rsidR="006D73DF" w:rsidRPr="006D73DF">
              <w:t>BASE Energy, Inc</w:t>
            </w:r>
            <w:r w:rsidR="0068419D" w:rsidRPr="006D73DF">
              <w:t>)</w:t>
            </w:r>
          </w:p>
          <w:p w:rsidR="000062B2" w:rsidRDefault="000062B2" w:rsidP="000062B2">
            <w:r>
              <w:t>Ahmad Ganji</w:t>
            </w:r>
            <w:r w:rsidRPr="006D73DF">
              <w:t xml:space="preserve"> (BASE Energy, Inc)</w:t>
            </w:r>
          </w:p>
          <w:p w:rsidR="0068419D" w:rsidRPr="005C611A" w:rsidRDefault="0068419D" w:rsidP="00E35EAA"/>
        </w:tc>
      </w:tr>
      <w:tr w:rsidR="0068419D" w:rsidRPr="00001B9C" w:rsidTr="00AB797B">
        <w:trPr>
          <w:trHeight w:val="464"/>
        </w:trPr>
        <w:tc>
          <w:tcPr>
            <w:tcW w:w="888" w:type="pct"/>
            <w:shd w:val="pct5" w:color="000000" w:fill="FFFFFF"/>
          </w:tcPr>
          <w:p w:rsidR="0068419D" w:rsidRPr="00001B9C" w:rsidRDefault="00337EB8" w:rsidP="00E35EAA">
            <w:r>
              <w:t>Revision 1</w:t>
            </w:r>
          </w:p>
        </w:tc>
        <w:tc>
          <w:tcPr>
            <w:tcW w:w="616" w:type="pct"/>
            <w:shd w:val="pct5" w:color="000000" w:fill="FFFFFF"/>
          </w:tcPr>
          <w:p w:rsidR="0068419D" w:rsidRPr="00001B9C" w:rsidRDefault="006059DD" w:rsidP="006059DD">
            <w:r>
              <w:t>3</w:t>
            </w:r>
            <w:r w:rsidR="00337EB8">
              <w:t>/</w:t>
            </w:r>
            <w:r>
              <w:t>10</w:t>
            </w:r>
            <w:r w:rsidR="00337EB8">
              <w:t>/2015</w:t>
            </w:r>
          </w:p>
        </w:tc>
        <w:tc>
          <w:tcPr>
            <w:tcW w:w="1729" w:type="pct"/>
            <w:shd w:val="pct5" w:color="000000" w:fill="FFFFFF"/>
          </w:tcPr>
          <w:p w:rsidR="0068419D" w:rsidRPr="00001B9C" w:rsidRDefault="00B7030E" w:rsidP="006059DD">
            <w:r>
              <w:t>Added new measure code to include Replace On Burnout</w:t>
            </w:r>
            <w:r w:rsidR="0019278B">
              <w:t xml:space="preserve"> (ROB)</w:t>
            </w:r>
            <w:r>
              <w:t xml:space="preserve"> and New Construction</w:t>
            </w:r>
            <w:r w:rsidR="006F77C7">
              <w:t xml:space="preserve"> </w:t>
            </w:r>
            <w:r w:rsidR="0019278B">
              <w:t xml:space="preserve">(NC) </w:t>
            </w:r>
            <w:r w:rsidR="006F77C7">
              <w:t>for Agricultural Booster Pumps &lt;=150HP</w:t>
            </w:r>
            <w:r w:rsidR="006059DD">
              <w:t xml:space="preserve"> and for Well Pumps &lt;=300HP</w:t>
            </w:r>
          </w:p>
        </w:tc>
        <w:tc>
          <w:tcPr>
            <w:tcW w:w="1767" w:type="pct"/>
            <w:shd w:val="pct5" w:color="000000" w:fill="FFFFFF"/>
          </w:tcPr>
          <w:p w:rsidR="0068419D" w:rsidRDefault="00337EB8" w:rsidP="00E35EAA">
            <w:r>
              <w:t>Steve Fok (PG&amp;E)</w:t>
            </w:r>
          </w:p>
          <w:p w:rsidR="00D617A7" w:rsidRPr="00001B9C" w:rsidRDefault="00D617A7" w:rsidP="00E35EAA">
            <w:r>
              <w:t xml:space="preserve">Sandra Chow </w:t>
            </w:r>
            <w:r w:rsidRPr="006D73DF">
              <w:t>(BASE Energy, Inc)</w:t>
            </w:r>
          </w:p>
        </w:tc>
      </w:tr>
      <w:tr w:rsidR="00766471" w:rsidRPr="00001B9C" w:rsidTr="00766471">
        <w:trPr>
          <w:trHeight w:val="464"/>
        </w:trPr>
        <w:tc>
          <w:tcPr>
            <w:tcW w:w="888" w:type="pct"/>
            <w:shd w:val="clear" w:color="auto" w:fill="D9D9D9" w:themeFill="background1" w:themeFillShade="D9"/>
          </w:tcPr>
          <w:p w:rsidR="00766471" w:rsidRDefault="00766471" w:rsidP="00E35EAA">
            <w:r>
              <w:t>Revision 2</w:t>
            </w:r>
          </w:p>
        </w:tc>
        <w:tc>
          <w:tcPr>
            <w:tcW w:w="616" w:type="pct"/>
            <w:shd w:val="clear" w:color="auto" w:fill="D9D9D9" w:themeFill="background1" w:themeFillShade="D9"/>
          </w:tcPr>
          <w:p w:rsidR="00766471" w:rsidRDefault="00EA0DBB" w:rsidP="006059DD">
            <w:r>
              <w:t>4/15</w:t>
            </w:r>
            <w:r w:rsidR="00766471">
              <w:t>/2016</w:t>
            </w:r>
          </w:p>
        </w:tc>
        <w:tc>
          <w:tcPr>
            <w:tcW w:w="1729" w:type="pct"/>
            <w:shd w:val="clear" w:color="auto" w:fill="D9D9D9" w:themeFill="background1" w:themeFillShade="D9"/>
          </w:tcPr>
          <w:p w:rsidR="00766471" w:rsidRDefault="00766471" w:rsidP="00FD03E1">
            <w:r>
              <w:t xml:space="preserve">Updated to the latest ex ante format.  </w:t>
            </w:r>
            <w:r w:rsidR="003F38BE">
              <w:t>Removed ROB measures.</w:t>
            </w:r>
          </w:p>
        </w:tc>
        <w:tc>
          <w:tcPr>
            <w:tcW w:w="1767" w:type="pct"/>
            <w:shd w:val="clear" w:color="auto" w:fill="D9D9D9" w:themeFill="background1" w:themeFillShade="D9"/>
          </w:tcPr>
          <w:p w:rsidR="00766471" w:rsidRDefault="00766471" w:rsidP="00E35EAA">
            <w:r>
              <w:t>Linda Wan (PG&amp;E)</w:t>
            </w:r>
          </w:p>
        </w:tc>
      </w:tr>
      <w:tr w:rsidR="00064F46" w:rsidRPr="00001B9C" w:rsidTr="00064F46">
        <w:trPr>
          <w:trHeight w:val="464"/>
        </w:trPr>
        <w:tc>
          <w:tcPr>
            <w:tcW w:w="888" w:type="pct"/>
            <w:shd w:val="clear" w:color="auto" w:fill="F2F2F2" w:themeFill="background1" w:themeFillShade="F2"/>
          </w:tcPr>
          <w:p w:rsidR="00064F46" w:rsidRDefault="00064F46" w:rsidP="00E35EAA">
            <w:r>
              <w:t>Revision 3</w:t>
            </w:r>
          </w:p>
        </w:tc>
        <w:tc>
          <w:tcPr>
            <w:tcW w:w="616" w:type="pct"/>
            <w:shd w:val="clear" w:color="auto" w:fill="F2F2F2" w:themeFill="background1" w:themeFillShade="F2"/>
          </w:tcPr>
          <w:p w:rsidR="00064F46" w:rsidRDefault="00064F46" w:rsidP="006059DD">
            <w:r>
              <w:t>4/1/2017</w:t>
            </w:r>
          </w:p>
        </w:tc>
        <w:tc>
          <w:tcPr>
            <w:tcW w:w="1729" w:type="pct"/>
            <w:shd w:val="clear" w:color="auto" w:fill="F2F2F2" w:themeFill="background1" w:themeFillShade="F2"/>
          </w:tcPr>
          <w:p w:rsidR="00064F46" w:rsidRDefault="00064F46" w:rsidP="00FD03E1">
            <w:r>
              <w:t>Retired measure codes IR008 and IR009</w:t>
            </w:r>
            <w:r w:rsidR="002D6206">
              <w:t xml:space="preserve"> effective 4/1/2017</w:t>
            </w:r>
            <w:r>
              <w:t>. Added NC for IR007 and IR006.</w:t>
            </w:r>
          </w:p>
        </w:tc>
        <w:tc>
          <w:tcPr>
            <w:tcW w:w="1767" w:type="pct"/>
            <w:shd w:val="clear" w:color="auto" w:fill="F2F2F2" w:themeFill="background1" w:themeFillShade="F2"/>
          </w:tcPr>
          <w:p w:rsidR="00064F46" w:rsidRDefault="00064F46" w:rsidP="00E35EAA">
            <w:r>
              <w:t>Linda Wan (PG&amp;E)</w:t>
            </w:r>
          </w:p>
        </w:tc>
      </w:tr>
    </w:tbl>
    <w:p w:rsidR="00783DAC" w:rsidRPr="00001B9C" w:rsidRDefault="00783DAC" w:rsidP="00E35EAA">
      <w:bookmarkStart w:id="6" w:name="_Toc186621650"/>
    </w:p>
    <w:p w:rsidR="00E71EF1" w:rsidRPr="00D87F3A" w:rsidRDefault="00E71EF1" w:rsidP="00E35EAA">
      <w:pPr>
        <w:pStyle w:val="Heading1"/>
      </w:pPr>
      <w:bookmarkStart w:id="7" w:name="_Toc304800197"/>
      <w:bookmarkStart w:id="8" w:name="_GoBack"/>
      <w:bookmarkEnd w:id="8"/>
      <w:r w:rsidRPr="00001B9C">
        <w:rPr>
          <w:color w:val="FF0000"/>
        </w:rPr>
        <w:br w:type="page"/>
      </w:r>
      <w:bookmarkStart w:id="9" w:name="_Toc447098718"/>
      <w:r w:rsidR="001248A3" w:rsidRPr="00D87F3A">
        <w:lastRenderedPageBreak/>
        <w:t>Table</w:t>
      </w:r>
      <w:r w:rsidR="006559C8" w:rsidRPr="00D87F3A">
        <w:t xml:space="preserve"> of Contents</w:t>
      </w:r>
      <w:bookmarkEnd w:id="6"/>
      <w:bookmarkEnd w:id="7"/>
      <w:bookmarkEnd w:id="9"/>
    </w:p>
    <w:p w:rsidR="000C4442" w:rsidRDefault="009940B1">
      <w:pPr>
        <w:pStyle w:val="TOC1"/>
        <w:tabs>
          <w:tab w:val="right" w:leader="dot" w:pos="9350"/>
        </w:tabs>
        <w:rPr>
          <w:rFonts w:asciiTheme="minorHAnsi" w:eastAsiaTheme="minorEastAsia" w:hAnsiTheme="minorHAnsi" w:cstheme="minorBidi"/>
          <w:noProof/>
          <w:sz w:val="22"/>
          <w:szCs w:val="22"/>
        </w:rPr>
      </w:pPr>
      <w:r w:rsidRPr="00001B9C">
        <w:rPr>
          <w:b/>
          <w:bCs/>
          <w:color w:val="FF0000"/>
        </w:rPr>
        <w:fldChar w:fldCharType="begin"/>
      </w:r>
      <w:r w:rsidR="009F6F8B" w:rsidRPr="00001B9C">
        <w:rPr>
          <w:b/>
          <w:bCs/>
          <w:color w:val="FF0000"/>
        </w:rPr>
        <w:instrText xml:space="preserve"> TOC \o "1-3" \h \z \u </w:instrText>
      </w:r>
      <w:r w:rsidRPr="00001B9C">
        <w:rPr>
          <w:b/>
          <w:bCs/>
          <w:color w:val="FF0000"/>
        </w:rPr>
        <w:fldChar w:fldCharType="separate"/>
      </w:r>
      <w:hyperlink w:anchor="_Toc447098716" w:history="1">
        <w:r w:rsidR="000C4442" w:rsidRPr="00475337">
          <w:rPr>
            <w:rStyle w:val="Hyperlink"/>
            <w:noProof/>
          </w:rPr>
          <w:t>At-A-Glance Summary Table</w:t>
        </w:r>
        <w:r w:rsidR="000C4442">
          <w:rPr>
            <w:noProof/>
            <w:webHidden/>
          </w:rPr>
          <w:tab/>
        </w:r>
        <w:r w:rsidR="000C4442">
          <w:rPr>
            <w:noProof/>
            <w:webHidden/>
          </w:rPr>
          <w:fldChar w:fldCharType="begin"/>
        </w:r>
        <w:r w:rsidR="000C4442">
          <w:rPr>
            <w:noProof/>
            <w:webHidden/>
          </w:rPr>
          <w:instrText xml:space="preserve"> PAGEREF _Toc447098716 \h </w:instrText>
        </w:r>
        <w:r w:rsidR="000C4442">
          <w:rPr>
            <w:noProof/>
            <w:webHidden/>
          </w:rPr>
        </w:r>
        <w:r w:rsidR="000C4442">
          <w:rPr>
            <w:noProof/>
            <w:webHidden/>
          </w:rPr>
          <w:fldChar w:fldCharType="separate"/>
        </w:r>
        <w:r w:rsidR="000C4442">
          <w:rPr>
            <w:noProof/>
            <w:webHidden/>
          </w:rPr>
          <w:t>i</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17" w:history="1">
        <w:r w:rsidR="000C4442" w:rsidRPr="00475337">
          <w:rPr>
            <w:rStyle w:val="Hyperlink"/>
            <w:noProof/>
          </w:rPr>
          <w:t>Document Revision History</w:t>
        </w:r>
        <w:r w:rsidR="000C4442">
          <w:rPr>
            <w:noProof/>
            <w:webHidden/>
          </w:rPr>
          <w:tab/>
        </w:r>
        <w:r w:rsidR="000C4442">
          <w:rPr>
            <w:noProof/>
            <w:webHidden/>
          </w:rPr>
          <w:fldChar w:fldCharType="begin"/>
        </w:r>
        <w:r w:rsidR="000C4442">
          <w:rPr>
            <w:noProof/>
            <w:webHidden/>
          </w:rPr>
          <w:instrText xml:space="preserve"> PAGEREF _Toc447098717 \h </w:instrText>
        </w:r>
        <w:r w:rsidR="000C4442">
          <w:rPr>
            <w:noProof/>
            <w:webHidden/>
          </w:rPr>
        </w:r>
        <w:r w:rsidR="000C4442">
          <w:rPr>
            <w:noProof/>
            <w:webHidden/>
          </w:rPr>
          <w:fldChar w:fldCharType="separate"/>
        </w:r>
        <w:r w:rsidR="000C4442">
          <w:rPr>
            <w:noProof/>
            <w:webHidden/>
          </w:rPr>
          <w:t>ii</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18" w:history="1">
        <w:r w:rsidR="000C4442" w:rsidRPr="00475337">
          <w:rPr>
            <w:rStyle w:val="Hyperlink"/>
            <w:noProof/>
          </w:rPr>
          <w:t>Table of Contents</w:t>
        </w:r>
        <w:r w:rsidR="000C4442">
          <w:rPr>
            <w:noProof/>
            <w:webHidden/>
          </w:rPr>
          <w:tab/>
        </w:r>
        <w:r w:rsidR="000C4442">
          <w:rPr>
            <w:noProof/>
            <w:webHidden/>
          </w:rPr>
          <w:fldChar w:fldCharType="begin"/>
        </w:r>
        <w:r w:rsidR="000C4442">
          <w:rPr>
            <w:noProof/>
            <w:webHidden/>
          </w:rPr>
          <w:instrText xml:space="preserve"> PAGEREF _Toc447098718 \h </w:instrText>
        </w:r>
        <w:r w:rsidR="000C4442">
          <w:rPr>
            <w:noProof/>
            <w:webHidden/>
          </w:rPr>
        </w:r>
        <w:r w:rsidR="000C4442">
          <w:rPr>
            <w:noProof/>
            <w:webHidden/>
          </w:rPr>
          <w:fldChar w:fldCharType="separate"/>
        </w:r>
        <w:r w:rsidR="000C4442">
          <w:rPr>
            <w:noProof/>
            <w:webHidden/>
          </w:rPr>
          <w:t>iii</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19" w:history="1">
        <w:r w:rsidR="000C4442" w:rsidRPr="00475337">
          <w:rPr>
            <w:rStyle w:val="Hyperlink"/>
            <w:noProof/>
          </w:rPr>
          <w:t>Section 1. General Measure &amp; Baseline Data</w:t>
        </w:r>
        <w:r w:rsidR="000C4442">
          <w:rPr>
            <w:noProof/>
            <w:webHidden/>
          </w:rPr>
          <w:tab/>
        </w:r>
        <w:r w:rsidR="000C4442">
          <w:rPr>
            <w:noProof/>
            <w:webHidden/>
          </w:rPr>
          <w:fldChar w:fldCharType="begin"/>
        </w:r>
        <w:r w:rsidR="000C4442">
          <w:rPr>
            <w:noProof/>
            <w:webHidden/>
          </w:rPr>
          <w:instrText xml:space="preserve"> PAGEREF _Toc447098719 \h </w:instrText>
        </w:r>
        <w:r w:rsidR="000C4442">
          <w:rPr>
            <w:noProof/>
            <w:webHidden/>
          </w:rPr>
        </w:r>
        <w:r w:rsidR="000C4442">
          <w:rPr>
            <w:noProof/>
            <w:webHidden/>
          </w:rPr>
          <w:fldChar w:fldCharType="separate"/>
        </w:r>
        <w:r w:rsidR="000C4442">
          <w:rPr>
            <w:noProof/>
            <w:webHidden/>
          </w:rPr>
          <w:t>1</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0" w:history="1">
        <w:r w:rsidR="000C4442" w:rsidRPr="00475337">
          <w:rPr>
            <w:rStyle w:val="Hyperlink"/>
            <w:noProof/>
          </w:rPr>
          <w:t>1.1 Product Measure Description &amp; Background</w:t>
        </w:r>
        <w:r w:rsidR="000C4442">
          <w:rPr>
            <w:noProof/>
            <w:webHidden/>
          </w:rPr>
          <w:tab/>
        </w:r>
        <w:r w:rsidR="000C4442">
          <w:rPr>
            <w:noProof/>
            <w:webHidden/>
          </w:rPr>
          <w:fldChar w:fldCharType="begin"/>
        </w:r>
        <w:r w:rsidR="000C4442">
          <w:rPr>
            <w:noProof/>
            <w:webHidden/>
          </w:rPr>
          <w:instrText xml:space="preserve"> PAGEREF _Toc447098720 \h </w:instrText>
        </w:r>
        <w:r w:rsidR="000C4442">
          <w:rPr>
            <w:noProof/>
            <w:webHidden/>
          </w:rPr>
        </w:r>
        <w:r w:rsidR="000C4442">
          <w:rPr>
            <w:noProof/>
            <w:webHidden/>
          </w:rPr>
          <w:fldChar w:fldCharType="separate"/>
        </w:r>
        <w:r w:rsidR="000C4442">
          <w:rPr>
            <w:noProof/>
            <w:webHidden/>
          </w:rPr>
          <w:t>1</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1" w:history="1">
        <w:r w:rsidR="000C4442" w:rsidRPr="00475337">
          <w:rPr>
            <w:rStyle w:val="Hyperlink"/>
            <w:noProof/>
          </w:rPr>
          <w:t>1.2 Product Technical Description</w:t>
        </w:r>
        <w:r w:rsidR="000C4442">
          <w:rPr>
            <w:noProof/>
            <w:webHidden/>
          </w:rPr>
          <w:tab/>
        </w:r>
        <w:r w:rsidR="000C4442">
          <w:rPr>
            <w:noProof/>
            <w:webHidden/>
          </w:rPr>
          <w:fldChar w:fldCharType="begin"/>
        </w:r>
        <w:r w:rsidR="000C4442">
          <w:rPr>
            <w:noProof/>
            <w:webHidden/>
          </w:rPr>
          <w:instrText xml:space="preserve"> PAGEREF _Toc447098721 \h </w:instrText>
        </w:r>
        <w:r w:rsidR="000C4442">
          <w:rPr>
            <w:noProof/>
            <w:webHidden/>
          </w:rPr>
        </w:r>
        <w:r w:rsidR="000C4442">
          <w:rPr>
            <w:noProof/>
            <w:webHidden/>
          </w:rPr>
          <w:fldChar w:fldCharType="separate"/>
        </w:r>
        <w:r w:rsidR="000C4442">
          <w:rPr>
            <w:noProof/>
            <w:webHidden/>
          </w:rPr>
          <w:t>2</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2" w:history="1">
        <w:r w:rsidR="000C4442" w:rsidRPr="00475337">
          <w:rPr>
            <w:rStyle w:val="Hyperlink"/>
            <w:noProof/>
          </w:rPr>
          <w:t>1.3 Measure Application Type</w:t>
        </w:r>
        <w:r w:rsidR="000C4442">
          <w:rPr>
            <w:noProof/>
            <w:webHidden/>
          </w:rPr>
          <w:tab/>
        </w:r>
        <w:r w:rsidR="000C4442">
          <w:rPr>
            <w:noProof/>
            <w:webHidden/>
          </w:rPr>
          <w:fldChar w:fldCharType="begin"/>
        </w:r>
        <w:r w:rsidR="000C4442">
          <w:rPr>
            <w:noProof/>
            <w:webHidden/>
          </w:rPr>
          <w:instrText xml:space="preserve"> PAGEREF _Toc447098722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3" w:history="1">
        <w:r w:rsidR="000C4442" w:rsidRPr="00475337">
          <w:rPr>
            <w:rStyle w:val="Hyperlink"/>
            <w:noProof/>
          </w:rPr>
          <w:t>1.4 Product Base Case and Measure Case Data</w:t>
        </w:r>
        <w:r w:rsidR="000C4442">
          <w:rPr>
            <w:noProof/>
            <w:webHidden/>
          </w:rPr>
          <w:tab/>
        </w:r>
        <w:r w:rsidR="000C4442">
          <w:rPr>
            <w:noProof/>
            <w:webHidden/>
          </w:rPr>
          <w:fldChar w:fldCharType="begin"/>
        </w:r>
        <w:r w:rsidR="000C4442">
          <w:rPr>
            <w:noProof/>
            <w:webHidden/>
          </w:rPr>
          <w:instrText xml:space="preserve"> PAGEREF _Toc447098723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4" w:history="1">
        <w:r w:rsidR="000C4442" w:rsidRPr="00475337">
          <w:rPr>
            <w:rStyle w:val="Hyperlink"/>
            <w:noProof/>
          </w:rPr>
          <w:t>1.4.1 DEER Base Case and Measure Case Information</w:t>
        </w:r>
        <w:r w:rsidR="000C4442">
          <w:rPr>
            <w:noProof/>
            <w:webHidden/>
          </w:rPr>
          <w:tab/>
        </w:r>
        <w:r w:rsidR="000C4442">
          <w:rPr>
            <w:noProof/>
            <w:webHidden/>
          </w:rPr>
          <w:fldChar w:fldCharType="begin"/>
        </w:r>
        <w:r w:rsidR="000C4442">
          <w:rPr>
            <w:noProof/>
            <w:webHidden/>
          </w:rPr>
          <w:instrText xml:space="preserve"> PAGEREF _Toc447098724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5" w:history="1">
        <w:r w:rsidR="000C4442" w:rsidRPr="00475337">
          <w:rPr>
            <w:rStyle w:val="Hyperlink"/>
            <w:noProof/>
          </w:rPr>
          <w:t>1.4.2 Codes &amp; Standards Requirements Base Case and Measure Information</w:t>
        </w:r>
        <w:r w:rsidR="000C4442">
          <w:rPr>
            <w:noProof/>
            <w:webHidden/>
          </w:rPr>
          <w:tab/>
        </w:r>
        <w:r w:rsidR="000C4442">
          <w:rPr>
            <w:noProof/>
            <w:webHidden/>
          </w:rPr>
          <w:fldChar w:fldCharType="begin"/>
        </w:r>
        <w:r w:rsidR="000C4442">
          <w:rPr>
            <w:noProof/>
            <w:webHidden/>
          </w:rPr>
          <w:instrText xml:space="preserve"> PAGEREF _Toc447098725 \h </w:instrText>
        </w:r>
        <w:r w:rsidR="000C4442">
          <w:rPr>
            <w:noProof/>
            <w:webHidden/>
          </w:rPr>
        </w:r>
        <w:r w:rsidR="000C4442">
          <w:rPr>
            <w:noProof/>
            <w:webHidden/>
          </w:rPr>
          <w:fldChar w:fldCharType="separate"/>
        </w:r>
        <w:r w:rsidR="000C4442">
          <w:rPr>
            <w:noProof/>
            <w:webHidden/>
          </w:rPr>
          <w:t>4</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6" w:history="1">
        <w:r w:rsidR="000C4442" w:rsidRPr="00475337">
          <w:rPr>
            <w:rStyle w:val="Hyperlink"/>
            <w:noProof/>
          </w:rPr>
          <w:t>1.4.3 EM&amp;V, Market Potential, and Other Studies – Base Case and Measure Case Information</w:t>
        </w:r>
        <w:r w:rsidR="000C4442">
          <w:rPr>
            <w:noProof/>
            <w:webHidden/>
          </w:rPr>
          <w:tab/>
        </w:r>
        <w:r w:rsidR="000C4442">
          <w:rPr>
            <w:noProof/>
            <w:webHidden/>
          </w:rPr>
          <w:fldChar w:fldCharType="begin"/>
        </w:r>
        <w:r w:rsidR="000C4442">
          <w:rPr>
            <w:noProof/>
            <w:webHidden/>
          </w:rPr>
          <w:instrText xml:space="preserve"> PAGEREF _Toc447098726 \h </w:instrText>
        </w:r>
        <w:r w:rsidR="000C4442">
          <w:rPr>
            <w:noProof/>
            <w:webHidden/>
          </w:rPr>
        </w:r>
        <w:r w:rsidR="000C4442">
          <w:rPr>
            <w:noProof/>
            <w:webHidden/>
          </w:rPr>
          <w:fldChar w:fldCharType="separate"/>
        </w:r>
        <w:r w:rsidR="000C4442">
          <w:rPr>
            <w:noProof/>
            <w:webHidden/>
          </w:rPr>
          <w:t>4</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7" w:history="1">
        <w:r w:rsidR="000C4442" w:rsidRPr="00475337">
          <w:rPr>
            <w:rStyle w:val="Hyperlink"/>
            <w:noProof/>
          </w:rPr>
          <w:t>1.4.4 Assumptions and Calculations from other sources – Base and Measure Cases</w:t>
        </w:r>
        <w:r w:rsidR="000C4442">
          <w:rPr>
            <w:noProof/>
            <w:webHidden/>
          </w:rPr>
          <w:tab/>
        </w:r>
        <w:r w:rsidR="000C4442">
          <w:rPr>
            <w:noProof/>
            <w:webHidden/>
          </w:rPr>
          <w:fldChar w:fldCharType="begin"/>
        </w:r>
        <w:r w:rsidR="000C4442">
          <w:rPr>
            <w:noProof/>
            <w:webHidden/>
          </w:rPr>
          <w:instrText xml:space="preserve"> PAGEREF _Toc447098727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28" w:history="1">
        <w:r w:rsidR="000C4442" w:rsidRPr="00475337">
          <w:rPr>
            <w:rStyle w:val="Hyperlink"/>
            <w:noProof/>
          </w:rPr>
          <w:t>1.4.5 Time-of-Use Adjustment Factor</w:t>
        </w:r>
        <w:r w:rsidR="000C4442">
          <w:rPr>
            <w:noProof/>
            <w:webHidden/>
          </w:rPr>
          <w:tab/>
        </w:r>
        <w:r w:rsidR="000C4442">
          <w:rPr>
            <w:noProof/>
            <w:webHidden/>
          </w:rPr>
          <w:fldChar w:fldCharType="begin"/>
        </w:r>
        <w:r w:rsidR="000C4442">
          <w:rPr>
            <w:noProof/>
            <w:webHidden/>
          </w:rPr>
          <w:instrText xml:space="preserve"> PAGEREF _Toc447098728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29" w:history="1">
        <w:r w:rsidR="000C4442" w:rsidRPr="00475337">
          <w:rPr>
            <w:rStyle w:val="Hyperlink"/>
            <w:noProof/>
          </w:rPr>
          <w:t>Section 2. Calculation Methods</w:t>
        </w:r>
        <w:r w:rsidR="000C4442">
          <w:rPr>
            <w:noProof/>
            <w:webHidden/>
          </w:rPr>
          <w:tab/>
        </w:r>
        <w:r w:rsidR="000C4442">
          <w:rPr>
            <w:noProof/>
            <w:webHidden/>
          </w:rPr>
          <w:fldChar w:fldCharType="begin"/>
        </w:r>
        <w:r w:rsidR="000C4442">
          <w:rPr>
            <w:noProof/>
            <w:webHidden/>
          </w:rPr>
          <w:instrText xml:space="preserve"> PAGEREF _Toc447098729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0" w:history="1">
        <w:r w:rsidR="000C4442" w:rsidRPr="00475337">
          <w:rPr>
            <w:rStyle w:val="Hyperlink"/>
            <w:noProof/>
          </w:rPr>
          <w:t>2.1 Electric Energy Savings Estimation Methodologies</w:t>
        </w:r>
        <w:r w:rsidR="000C4442">
          <w:rPr>
            <w:noProof/>
            <w:webHidden/>
          </w:rPr>
          <w:tab/>
        </w:r>
        <w:r w:rsidR="000C4442">
          <w:rPr>
            <w:noProof/>
            <w:webHidden/>
          </w:rPr>
          <w:fldChar w:fldCharType="begin"/>
        </w:r>
        <w:r w:rsidR="000C4442">
          <w:rPr>
            <w:noProof/>
            <w:webHidden/>
          </w:rPr>
          <w:instrText xml:space="preserve"> PAGEREF _Toc447098730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1" w:history="1">
        <w:r w:rsidR="000C4442" w:rsidRPr="00475337">
          <w:rPr>
            <w:rStyle w:val="Hyperlink"/>
            <w:noProof/>
          </w:rPr>
          <w:t>2.2 Demand Reduction Estimation Methodologies</w:t>
        </w:r>
        <w:r w:rsidR="000C4442">
          <w:rPr>
            <w:noProof/>
            <w:webHidden/>
          </w:rPr>
          <w:tab/>
        </w:r>
        <w:r w:rsidR="000C4442">
          <w:rPr>
            <w:noProof/>
            <w:webHidden/>
          </w:rPr>
          <w:fldChar w:fldCharType="begin"/>
        </w:r>
        <w:r w:rsidR="000C4442">
          <w:rPr>
            <w:noProof/>
            <w:webHidden/>
          </w:rPr>
          <w:instrText xml:space="preserve"> PAGEREF _Toc447098731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2" w:history="1">
        <w:r w:rsidR="000C4442" w:rsidRPr="00475337">
          <w:rPr>
            <w:rStyle w:val="Hyperlink"/>
            <w:noProof/>
          </w:rPr>
          <w:t>2.3. Gas Energy Savings Estimation Methodologies</w:t>
        </w:r>
        <w:r w:rsidR="000C4442">
          <w:rPr>
            <w:noProof/>
            <w:webHidden/>
          </w:rPr>
          <w:tab/>
        </w:r>
        <w:r w:rsidR="000C4442">
          <w:rPr>
            <w:noProof/>
            <w:webHidden/>
          </w:rPr>
          <w:fldChar w:fldCharType="begin"/>
        </w:r>
        <w:r w:rsidR="000C4442">
          <w:rPr>
            <w:noProof/>
            <w:webHidden/>
          </w:rPr>
          <w:instrText xml:space="preserve"> PAGEREF _Toc447098732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3" w:history="1">
        <w:r w:rsidR="000C4442" w:rsidRPr="00475337">
          <w:rPr>
            <w:rStyle w:val="Hyperlink"/>
            <w:noProof/>
          </w:rPr>
          <w:t>2.4. Categorized Energy Savings Estimation Methodologies</w:t>
        </w:r>
        <w:r w:rsidR="000C4442">
          <w:rPr>
            <w:noProof/>
            <w:webHidden/>
          </w:rPr>
          <w:tab/>
        </w:r>
        <w:r w:rsidR="000C4442">
          <w:rPr>
            <w:noProof/>
            <w:webHidden/>
          </w:rPr>
          <w:fldChar w:fldCharType="begin"/>
        </w:r>
        <w:r w:rsidR="000C4442">
          <w:rPr>
            <w:noProof/>
            <w:webHidden/>
          </w:rPr>
          <w:instrText xml:space="preserve"> PAGEREF _Toc447098733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34" w:history="1">
        <w:r w:rsidR="000C4442" w:rsidRPr="00475337">
          <w:rPr>
            <w:rStyle w:val="Hyperlink"/>
            <w:noProof/>
          </w:rPr>
          <w:t>Section 3. Load Shapes</w:t>
        </w:r>
        <w:r w:rsidR="000C4442">
          <w:rPr>
            <w:noProof/>
            <w:webHidden/>
          </w:rPr>
          <w:tab/>
        </w:r>
        <w:r w:rsidR="000C4442">
          <w:rPr>
            <w:noProof/>
            <w:webHidden/>
          </w:rPr>
          <w:fldChar w:fldCharType="begin"/>
        </w:r>
        <w:r w:rsidR="000C4442">
          <w:rPr>
            <w:noProof/>
            <w:webHidden/>
          </w:rPr>
          <w:instrText xml:space="preserve"> PAGEREF _Toc447098734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35" w:history="1">
        <w:r w:rsidR="000C4442" w:rsidRPr="00475337">
          <w:rPr>
            <w:rStyle w:val="Hyperlink"/>
            <w:noProof/>
          </w:rPr>
          <w:t>Section 4. Base Case &amp; Measure Costs</w:t>
        </w:r>
        <w:r w:rsidR="000C4442">
          <w:rPr>
            <w:noProof/>
            <w:webHidden/>
          </w:rPr>
          <w:tab/>
        </w:r>
        <w:r w:rsidR="000C4442">
          <w:rPr>
            <w:noProof/>
            <w:webHidden/>
          </w:rPr>
          <w:fldChar w:fldCharType="begin"/>
        </w:r>
        <w:r w:rsidR="000C4442">
          <w:rPr>
            <w:noProof/>
            <w:webHidden/>
          </w:rPr>
          <w:instrText xml:space="preserve"> PAGEREF _Toc447098735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6" w:history="1">
        <w:r w:rsidR="000C4442" w:rsidRPr="00475337">
          <w:rPr>
            <w:rStyle w:val="Hyperlink"/>
            <w:noProof/>
          </w:rPr>
          <w:t>4.1 Base Case(s) Costs</w:t>
        </w:r>
        <w:r w:rsidR="000C4442">
          <w:rPr>
            <w:noProof/>
            <w:webHidden/>
          </w:rPr>
          <w:tab/>
        </w:r>
        <w:r w:rsidR="000C4442">
          <w:rPr>
            <w:noProof/>
            <w:webHidden/>
          </w:rPr>
          <w:fldChar w:fldCharType="begin"/>
        </w:r>
        <w:r w:rsidR="000C4442">
          <w:rPr>
            <w:noProof/>
            <w:webHidden/>
          </w:rPr>
          <w:instrText xml:space="preserve"> PAGEREF _Toc447098736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7" w:history="1">
        <w:r w:rsidR="000C4442" w:rsidRPr="00475337">
          <w:rPr>
            <w:rStyle w:val="Hyperlink"/>
            <w:noProof/>
          </w:rPr>
          <w:t>4.2 Measure Case Costs</w:t>
        </w:r>
        <w:r w:rsidR="000C4442">
          <w:rPr>
            <w:noProof/>
            <w:webHidden/>
          </w:rPr>
          <w:tab/>
        </w:r>
        <w:r w:rsidR="000C4442">
          <w:rPr>
            <w:noProof/>
            <w:webHidden/>
          </w:rPr>
          <w:fldChar w:fldCharType="begin"/>
        </w:r>
        <w:r w:rsidR="000C4442">
          <w:rPr>
            <w:noProof/>
            <w:webHidden/>
          </w:rPr>
          <w:instrText xml:space="preserve"> PAGEREF _Toc447098737 \h </w:instrText>
        </w:r>
        <w:r w:rsidR="000C4442">
          <w:rPr>
            <w:noProof/>
            <w:webHidden/>
          </w:rPr>
        </w:r>
        <w:r w:rsidR="000C4442">
          <w:rPr>
            <w:noProof/>
            <w:webHidden/>
          </w:rPr>
          <w:fldChar w:fldCharType="separate"/>
        </w:r>
        <w:r w:rsidR="000C4442">
          <w:rPr>
            <w:noProof/>
            <w:webHidden/>
          </w:rPr>
          <w:t>8</w:t>
        </w:r>
        <w:r w:rsidR="000C4442">
          <w:rPr>
            <w:noProof/>
            <w:webHidden/>
          </w:rPr>
          <w:fldChar w:fldCharType="end"/>
        </w:r>
      </w:hyperlink>
    </w:p>
    <w:p w:rsidR="000C4442" w:rsidRDefault="002D6206">
      <w:pPr>
        <w:pStyle w:val="TOC2"/>
        <w:tabs>
          <w:tab w:val="right" w:leader="dot" w:pos="9350"/>
        </w:tabs>
        <w:rPr>
          <w:rFonts w:asciiTheme="minorHAnsi" w:eastAsiaTheme="minorEastAsia" w:hAnsiTheme="minorHAnsi" w:cstheme="minorBidi"/>
          <w:noProof/>
          <w:sz w:val="22"/>
          <w:szCs w:val="22"/>
        </w:rPr>
      </w:pPr>
      <w:hyperlink w:anchor="_Toc447098738" w:history="1">
        <w:r w:rsidR="000C4442" w:rsidRPr="00475337">
          <w:rPr>
            <w:rStyle w:val="Hyperlink"/>
            <w:noProof/>
          </w:rPr>
          <w:t>4.3 Incremental &amp; Full Measure Costs</w:t>
        </w:r>
        <w:r w:rsidR="000C4442">
          <w:rPr>
            <w:noProof/>
            <w:webHidden/>
          </w:rPr>
          <w:tab/>
        </w:r>
        <w:r w:rsidR="000C4442">
          <w:rPr>
            <w:noProof/>
            <w:webHidden/>
          </w:rPr>
          <w:fldChar w:fldCharType="begin"/>
        </w:r>
        <w:r w:rsidR="000C4442">
          <w:rPr>
            <w:noProof/>
            <w:webHidden/>
          </w:rPr>
          <w:instrText xml:space="preserve"> PAGEREF _Toc447098738 \h </w:instrText>
        </w:r>
        <w:r w:rsidR="000C4442">
          <w:rPr>
            <w:noProof/>
            <w:webHidden/>
          </w:rPr>
        </w:r>
        <w:r w:rsidR="000C4442">
          <w:rPr>
            <w:noProof/>
            <w:webHidden/>
          </w:rPr>
          <w:fldChar w:fldCharType="separate"/>
        </w:r>
        <w:r w:rsidR="000C4442">
          <w:rPr>
            <w:noProof/>
            <w:webHidden/>
          </w:rPr>
          <w:t>8</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39" w:history="1">
        <w:r w:rsidR="000C4442" w:rsidRPr="00475337">
          <w:rPr>
            <w:rStyle w:val="Hyperlink"/>
            <w:noProof/>
          </w:rPr>
          <w:t>References</w:t>
        </w:r>
        <w:r w:rsidR="000C4442">
          <w:rPr>
            <w:noProof/>
            <w:webHidden/>
          </w:rPr>
          <w:tab/>
        </w:r>
        <w:r w:rsidR="000C4442">
          <w:rPr>
            <w:noProof/>
            <w:webHidden/>
          </w:rPr>
          <w:fldChar w:fldCharType="begin"/>
        </w:r>
        <w:r w:rsidR="000C4442">
          <w:rPr>
            <w:noProof/>
            <w:webHidden/>
          </w:rPr>
          <w:instrText xml:space="preserve"> PAGEREF _Toc447098739 \h </w:instrText>
        </w:r>
        <w:r w:rsidR="000C4442">
          <w:rPr>
            <w:noProof/>
            <w:webHidden/>
          </w:rPr>
        </w:r>
        <w:r w:rsidR="000C4442">
          <w:rPr>
            <w:noProof/>
            <w:webHidden/>
          </w:rPr>
          <w:fldChar w:fldCharType="separate"/>
        </w:r>
        <w:r w:rsidR="000C4442">
          <w:rPr>
            <w:noProof/>
            <w:webHidden/>
          </w:rPr>
          <w:t>9</w:t>
        </w:r>
        <w:r w:rsidR="000C4442">
          <w:rPr>
            <w:noProof/>
            <w:webHidden/>
          </w:rPr>
          <w:fldChar w:fldCharType="end"/>
        </w:r>
      </w:hyperlink>
    </w:p>
    <w:p w:rsidR="000C4442" w:rsidRDefault="002D6206">
      <w:pPr>
        <w:pStyle w:val="TOC1"/>
        <w:tabs>
          <w:tab w:val="right" w:leader="dot" w:pos="9350"/>
        </w:tabs>
        <w:rPr>
          <w:rFonts w:asciiTheme="minorHAnsi" w:eastAsiaTheme="minorEastAsia" w:hAnsiTheme="minorHAnsi" w:cstheme="minorBidi"/>
          <w:noProof/>
          <w:sz w:val="22"/>
          <w:szCs w:val="22"/>
        </w:rPr>
      </w:pPr>
      <w:hyperlink w:anchor="_Toc447098740" w:history="1">
        <w:r w:rsidR="000C4442" w:rsidRPr="00475337">
          <w:rPr>
            <w:rStyle w:val="Hyperlink"/>
            <w:noProof/>
          </w:rPr>
          <w:t>Attachments</w:t>
        </w:r>
        <w:r w:rsidR="000C4442">
          <w:rPr>
            <w:noProof/>
            <w:webHidden/>
          </w:rPr>
          <w:tab/>
        </w:r>
        <w:r w:rsidR="000C4442">
          <w:rPr>
            <w:noProof/>
            <w:webHidden/>
          </w:rPr>
          <w:fldChar w:fldCharType="begin"/>
        </w:r>
        <w:r w:rsidR="000C4442">
          <w:rPr>
            <w:noProof/>
            <w:webHidden/>
          </w:rPr>
          <w:instrText xml:space="preserve"> PAGEREF _Toc447098740 \h </w:instrText>
        </w:r>
        <w:r w:rsidR="000C4442">
          <w:rPr>
            <w:noProof/>
            <w:webHidden/>
          </w:rPr>
        </w:r>
        <w:r w:rsidR="000C4442">
          <w:rPr>
            <w:noProof/>
            <w:webHidden/>
          </w:rPr>
          <w:fldChar w:fldCharType="separate"/>
        </w:r>
        <w:r w:rsidR="000C4442">
          <w:rPr>
            <w:noProof/>
            <w:webHidden/>
          </w:rPr>
          <w:t>9</w:t>
        </w:r>
        <w:r w:rsidR="000C4442">
          <w:rPr>
            <w:noProof/>
            <w:webHidden/>
          </w:rPr>
          <w:fldChar w:fldCharType="end"/>
        </w:r>
      </w:hyperlink>
    </w:p>
    <w:p w:rsidR="00CD09FA" w:rsidRPr="00001B9C" w:rsidRDefault="009940B1" w:rsidP="00AD7A0D">
      <w:r w:rsidRPr="00001B9C">
        <w:fldChar w:fldCharType="end"/>
      </w:r>
    </w:p>
    <w:p w:rsidR="005A1F9D" w:rsidRPr="00001B9C" w:rsidRDefault="005A1F9D" w:rsidP="00E35EAA"/>
    <w:p w:rsidR="00851FAF" w:rsidRPr="00001B9C" w:rsidRDefault="00851FAF" w:rsidP="00E35EAA">
      <w:pPr>
        <w:pStyle w:val="Heading1"/>
        <w:sectPr w:rsidR="00851FAF" w:rsidRPr="00001B9C" w:rsidSect="00DB2CE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rsidR="00ED21EE" w:rsidRPr="00314FE6" w:rsidRDefault="00ED21EE" w:rsidP="00E35EAA">
      <w:pPr>
        <w:pStyle w:val="Heading1"/>
      </w:pPr>
      <w:bookmarkStart w:id="11" w:name="_Toc447098719"/>
      <w:r w:rsidRPr="00314FE6">
        <w:lastRenderedPageBreak/>
        <w:t>Section 1. General Measure &amp; Baseline Data</w:t>
      </w:r>
      <w:bookmarkEnd w:id="11"/>
    </w:p>
    <w:p w:rsidR="00B343BB" w:rsidRDefault="00B343BB" w:rsidP="00B16127">
      <w:pPr>
        <w:pStyle w:val="Heading2"/>
      </w:pPr>
      <w:bookmarkStart w:id="12" w:name="_Toc447098720"/>
      <w:bookmarkEnd w:id="10"/>
      <w:r w:rsidRPr="00314FE6">
        <w:t>1.</w:t>
      </w:r>
      <w:r>
        <w:t>1</w:t>
      </w:r>
      <w:r w:rsidR="00F80D2C">
        <w:t xml:space="preserve"> </w:t>
      </w:r>
      <w:r w:rsidR="00AB797B">
        <w:t>Product Measure Description &amp; Background</w:t>
      </w:r>
      <w:bookmarkEnd w:id="12"/>
    </w:p>
    <w:p w:rsidR="00090529" w:rsidRDefault="00090529" w:rsidP="00E35EAA"/>
    <w:p w:rsidR="00910368" w:rsidRPr="00FF2556" w:rsidRDefault="00F80D2C" w:rsidP="00910368">
      <w:pPr>
        <w:pStyle w:val="Default"/>
        <w:rPr>
          <w:rFonts w:ascii="Arial" w:hAnsi="Arial" w:cs="Arial"/>
          <w:b/>
          <w:i/>
        </w:rPr>
      </w:pPr>
      <w:r>
        <w:rPr>
          <w:rFonts w:ascii="Arial" w:hAnsi="Arial" w:cs="Arial"/>
          <w:color w:val="auto"/>
          <w:sz w:val="26"/>
          <w:szCs w:val="26"/>
        </w:rPr>
        <w:t>Variable Frequency Drives on Agricultural Pumps</w:t>
      </w:r>
    </w:p>
    <w:p w:rsidR="00F80D2C" w:rsidRDefault="00F80D2C" w:rsidP="00F80D2C"/>
    <w:p w:rsidR="004966AF" w:rsidRDefault="004966AF" w:rsidP="004966AF">
      <w:r>
        <w:t xml:space="preserve">This work paper documents the rationale for the “variable frequency drive (VFD) on agricultural pumps” measure as listed in the PG&amp;E Agricultural and Food Processing Rebate Catalog, part of Pacific Gas and Electric Company’s Customer Energy Efficiency Program. PG&amp;E offers incentives to non-residential customers for installing qualifying lighting, refrigeration, air-conditioning, food service, and agricultural equipment. </w:t>
      </w:r>
    </w:p>
    <w:p w:rsidR="004966AF" w:rsidRPr="00E35EAA" w:rsidRDefault="004966AF" w:rsidP="004966AF"/>
    <w:p w:rsidR="004966AF" w:rsidRPr="00E35EAA" w:rsidRDefault="004966AF" w:rsidP="004966AF">
      <w:r w:rsidRPr="00E35EAA">
        <w:t xml:space="preserve">The following table provides a brief overview of the measures included in this </w:t>
      </w:r>
      <w:r>
        <w:t>work paper</w:t>
      </w:r>
      <w:r w:rsidRPr="00E35EAA">
        <w:t>.</w:t>
      </w:r>
    </w:p>
    <w:p w:rsidR="004966AF" w:rsidRDefault="004966AF" w:rsidP="004966AF"/>
    <w:p w:rsidR="004966AF" w:rsidRPr="00E35EAA" w:rsidRDefault="004966AF" w:rsidP="004966AF">
      <w:pPr>
        <w:jc w:val="center"/>
        <w:rPr>
          <w:b/>
        </w:rPr>
      </w:pPr>
      <w:r w:rsidRPr="00E35EAA">
        <w:rPr>
          <w:b/>
        </w:rPr>
        <w:t xml:space="preserve">Table </w:t>
      </w:r>
      <w:r w:rsidRPr="00E35EAA">
        <w:rPr>
          <w:b/>
        </w:rPr>
        <w:fldChar w:fldCharType="begin"/>
      </w:r>
      <w:r w:rsidRPr="00E35EAA">
        <w:rPr>
          <w:b/>
        </w:rPr>
        <w:instrText xml:space="preserve"> SEQ Table \* ARABIC </w:instrText>
      </w:r>
      <w:r w:rsidRPr="00E35EAA">
        <w:rPr>
          <w:b/>
        </w:rPr>
        <w:fldChar w:fldCharType="separate"/>
      </w:r>
      <w:r w:rsidR="00A1737C">
        <w:rPr>
          <w:b/>
          <w:noProof/>
        </w:rPr>
        <w:t>1</w:t>
      </w:r>
      <w:r w:rsidRPr="00E35EAA">
        <w:rPr>
          <w:b/>
        </w:rPr>
        <w:fldChar w:fldCharType="end"/>
      </w:r>
      <w:r w:rsidRPr="00E35EAA">
        <w:rPr>
          <w:b/>
        </w:rPr>
        <w:t xml:space="preserve"> Measure Names</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394"/>
        <w:gridCol w:w="4725"/>
      </w:tblGrid>
      <w:tr w:rsidR="004966AF" w:rsidRPr="00E35EAA" w:rsidTr="004966AF">
        <w:trPr>
          <w:jc w:val="center"/>
        </w:trPr>
        <w:tc>
          <w:tcPr>
            <w:tcW w:w="2394" w:type="dxa"/>
            <w:shd w:val="clear" w:color="auto" w:fill="D9D9D9" w:themeFill="background1" w:themeFillShade="D9"/>
          </w:tcPr>
          <w:p w:rsidR="004966AF" w:rsidRPr="00C21706" w:rsidRDefault="004966AF" w:rsidP="004966AF">
            <w:pPr>
              <w:rPr>
                <w:b/>
                <w:bCs/>
                <w:sz w:val="18"/>
              </w:rPr>
            </w:pPr>
            <w:r>
              <w:rPr>
                <w:b/>
                <w:bCs/>
                <w:sz w:val="18"/>
              </w:rPr>
              <w:t>Measure</w:t>
            </w:r>
            <w:r w:rsidRPr="00C21706">
              <w:rPr>
                <w:b/>
                <w:bCs/>
                <w:sz w:val="18"/>
              </w:rPr>
              <w:t xml:space="preserve"> Code</w:t>
            </w:r>
          </w:p>
        </w:tc>
        <w:tc>
          <w:tcPr>
            <w:tcW w:w="4725" w:type="dxa"/>
            <w:shd w:val="clear" w:color="auto" w:fill="D9D9D9" w:themeFill="background1" w:themeFillShade="D9"/>
          </w:tcPr>
          <w:p w:rsidR="004966AF" w:rsidRPr="00C21706" w:rsidRDefault="004966AF" w:rsidP="004966AF">
            <w:pPr>
              <w:rPr>
                <w:b/>
                <w:bCs/>
                <w:sz w:val="18"/>
              </w:rPr>
            </w:pPr>
            <w:r w:rsidRPr="00C21706">
              <w:rPr>
                <w:b/>
                <w:bCs/>
                <w:sz w:val="18"/>
              </w:rPr>
              <w:t>Measure name</w:t>
            </w:r>
          </w:p>
        </w:tc>
      </w:tr>
      <w:tr w:rsidR="004966AF" w:rsidRPr="00E35EAA" w:rsidTr="004966AF">
        <w:trPr>
          <w:trHeight w:val="243"/>
          <w:jc w:val="center"/>
        </w:trPr>
        <w:tc>
          <w:tcPr>
            <w:tcW w:w="2394" w:type="dxa"/>
            <w:shd w:val="pct5" w:color="000000" w:fill="FFFFFF"/>
            <w:vAlign w:val="center"/>
          </w:tcPr>
          <w:p w:rsidR="004966AF" w:rsidRPr="00C21706" w:rsidRDefault="004966AF" w:rsidP="004966AF">
            <w:pPr>
              <w:rPr>
                <w:sz w:val="18"/>
              </w:rPr>
            </w:pPr>
            <w:r>
              <w:rPr>
                <w:sz w:val="18"/>
              </w:rPr>
              <w:t>IR006</w:t>
            </w:r>
          </w:p>
        </w:tc>
        <w:tc>
          <w:tcPr>
            <w:tcW w:w="4725" w:type="dxa"/>
            <w:shd w:val="pct5" w:color="000000" w:fill="FFFFFF"/>
            <w:vAlign w:val="center"/>
          </w:tcPr>
          <w:p w:rsidR="004966AF" w:rsidRPr="00F80D2C" w:rsidRDefault="004966AF" w:rsidP="004966AF">
            <w:pPr>
              <w:rPr>
                <w:sz w:val="18"/>
              </w:rPr>
            </w:pPr>
            <w:r w:rsidRPr="00F80D2C">
              <w:rPr>
                <w:sz w:val="18"/>
              </w:rPr>
              <w:t>VFD ON AG WELL PUMPS (&lt;=300HP)</w:t>
            </w:r>
          </w:p>
        </w:tc>
      </w:tr>
      <w:tr w:rsidR="004966AF" w:rsidRPr="00C21706" w:rsidTr="004966AF">
        <w:trPr>
          <w:trHeight w:val="243"/>
          <w:jc w:val="center"/>
        </w:trPr>
        <w:tc>
          <w:tcPr>
            <w:tcW w:w="2394" w:type="dxa"/>
            <w:shd w:val="clear" w:color="auto" w:fill="D9D9D9" w:themeFill="background1" w:themeFillShade="D9"/>
            <w:vAlign w:val="center"/>
          </w:tcPr>
          <w:p w:rsidR="004966AF" w:rsidRPr="00C21706" w:rsidRDefault="004966AF" w:rsidP="004966AF">
            <w:pPr>
              <w:rPr>
                <w:sz w:val="18"/>
              </w:rPr>
            </w:pPr>
            <w:r>
              <w:rPr>
                <w:sz w:val="18"/>
              </w:rPr>
              <w:t>IR007</w:t>
            </w:r>
          </w:p>
        </w:tc>
        <w:tc>
          <w:tcPr>
            <w:tcW w:w="4725" w:type="dxa"/>
            <w:shd w:val="clear" w:color="auto" w:fill="D9D9D9" w:themeFill="background1" w:themeFillShade="D9"/>
            <w:vAlign w:val="center"/>
          </w:tcPr>
          <w:p w:rsidR="004966AF" w:rsidRPr="00F80D2C" w:rsidRDefault="004966AF" w:rsidP="004966AF">
            <w:pPr>
              <w:rPr>
                <w:sz w:val="18"/>
              </w:rPr>
            </w:pPr>
            <w:r w:rsidRPr="00F80D2C">
              <w:rPr>
                <w:sz w:val="18"/>
              </w:rPr>
              <w:t>VFD ON AG BOOSTER PUMPS (&lt;=150HP)</w:t>
            </w:r>
          </w:p>
        </w:tc>
      </w:tr>
    </w:tbl>
    <w:p w:rsidR="004966AF" w:rsidRDefault="004966AF" w:rsidP="00F80D2C"/>
    <w:p w:rsidR="004966AF" w:rsidRDefault="004966AF" w:rsidP="00F80D2C"/>
    <w:p w:rsidR="00BA0B1C" w:rsidRDefault="00BA0B1C" w:rsidP="00E35EAA">
      <w:pPr>
        <w:rPr>
          <w:b/>
          <w:i/>
        </w:rPr>
      </w:pPr>
      <w:r>
        <w:rPr>
          <w:b/>
          <w:i/>
        </w:rPr>
        <w:t>Program Restrictions and Guidelines</w:t>
      </w:r>
    </w:p>
    <w:p w:rsidR="00F80D2C" w:rsidRPr="00445655" w:rsidRDefault="00F80D2C" w:rsidP="00F80D2C">
      <w:pPr>
        <w:widowControl w:val="0"/>
        <w:numPr>
          <w:ilvl w:val="0"/>
          <w:numId w:val="40"/>
        </w:numPr>
        <w:autoSpaceDE w:val="0"/>
        <w:autoSpaceDN w:val="0"/>
        <w:adjustRightInd w:val="0"/>
        <w:spacing w:line="360" w:lineRule="auto"/>
      </w:pPr>
      <w:r w:rsidRPr="00445655">
        <w:t>Customer must have electricity distributed by PG&amp;E to the installation address.</w:t>
      </w:r>
    </w:p>
    <w:p w:rsidR="00F80D2C" w:rsidRDefault="00F80D2C" w:rsidP="00F80D2C">
      <w:pPr>
        <w:widowControl w:val="0"/>
        <w:numPr>
          <w:ilvl w:val="0"/>
          <w:numId w:val="40"/>
        </w:numPr>
        <w:autoSpaceDE w:val="0"/>
        <w:autoSpaceDN w:val="0"/>
        <w:adjustRightInd w:val="0"/>
        <w:spacing w:line="360" w:lineRule="auto"/>
        <w:ind w:left="540" w:hanging="360"/>
      </w:pPr>
      <w:r>
        <w:t>Customer must be under a PG&amp;E agricultural rate schedule.</w:t>
      </w:r>
    </w:p>
    <w:p w:rsidR="00F80D2C" w:rsidRPr="00F13B58" w:rsidRDefault="00F80D2C" w:rsidP="00D053D1">
      <w:pPr>
        <w:widowControl w:val="0"/>
        <w:numPr>
          <w:ilvl w:val="0"/>
          <w:numId w:val="40"/>
        </w:numPr>
        <w:autoSpaceDE w:val="0"/>
        <w:autoSpaceDN w:val="0"/>
        <w:adjustRightInd w:val="0"/>
        <w:spacing w:line="360" w:lineRule="auto"/>
        <w:ind w:left="540" w:hanging="324"/>
        <w:rPr>
          <w:color w:val="000000"/>
        </w:rPr>
      </w:pPr>
      <w:r w:rsidRPr="00F13B58">
        <w:rPr>
          <w:color w:val="000000"/>
        </w:rPr>
        <w:t xml:space="preserve">Customer must have an existing </w:t>
      </w:r>
      <w:r w:rsidR="00BE3658">
        <w:rPr>
          <w:color w:val="000000"/>
        </w:rPr>
        <w:t xml:space="preserve">electrically operated </w:t>
      </w:r>
      <w:r w:rsidRPr="00F13B58">
        <w:rPr>
          <w:color w:val="000000"/>
        </w:rPr>
        <w:t>agricultural booster or well pu</w:t>
      </w:r>
      <w:r w:rsidR="00D053D1">
        <w:rPr>
          <w:color w:val="000000"/>
        </w:rPr>
        <w:t xml:space="preserve">mp installed on site or customer is planning on installing a new agricultural booster </w:t>
      </w:r>
      <w:r w:rsidR="000F1160">
        <w:rPr>
          <w:color w:val="000000"/>
        </w:rPr>
        <w:t xml:space="preserve">or well </w:t>
      </w:r>
      <w:r w:rsidR="00D053D1">
        <w:rPr>
          <w:color w:val="000000"/>
        </w:rPr>
        <w:t>pump.</w:t>
      </w:r>
    </w:p>
    <w:p w:rsidR="00F80D2C" w:rsidRPr="00F13B58" w:rsidRDefault="00324867" w:rsidP="00F80D2C">
      <w:pPr>
        <w:widowControl w:val="0"/>
        <w:numPr>
          <w:ilvl w:val="0"/>
          <w:numId w:val="40"/>
        </w:numPr>
        <w:autoSpaceDE w:val="0"/>
        <w:autoSpaceDN w:val="0"/>
        <w:adjustRightInd w:val="0"/>
        <w:spacing w:line="360" w:lineRule="auto"/>
        <w:ind w:left="540" w:hanging="360"/>
        <w:rPr>
          <w:color w:val="000000"/>
        </w:rPr>
      </w:pPr>
      <w:r>
        <w:rPr>
          <w:color w:val="000000"/>
        </w:rPr>
        <w:t>Customer m</w:t>
      </w:r>
      <w:r w:rsidR="00F80D2C" w:rsidRPr="00F13B58">
        <w:rPr>
          <w:color w:val="000000"/>
        </w:rPr>
        <w:t>ust install a variable frequency drive (VFD) on the pump</w:t>
      </w:r>
      <w:r w:rsidR="000F1160">
        <w:rPr>
          <w:color w:val="000000"/>
        </w:rPr>
        <w:t xml:space="preserve"> motor</w:t>
      </w:r>
      <w:r w:rsidR="00F80D2C" w:rsidRPr="00F13B58">
        <w:rPr>
          <w:color w:val="000000"/>
        </w:rPr>
        <w:t>.</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 must be installed on a pressurized irrigation system (no flood irrigation).</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 must be used for controlling the flow/pressure of the pump.</w:t>
      </w:r>
    </w:p>
    <w:p w:rsidR="00F80D2C" w:rsidRPr="00F13B58" w:rsidRDefault="00F80D2C" w:rsidP="00F80D2C">
      <w:pPr>
        <w:widowControl w:val="0"/>
        <w:numPr>
          <w:ilvl w:val="0"/>
          <w:numId w:val="40"/>
        </w:numPr>
        <w:autoSpaceDE w:val="0"/>
        <w:autoSpaceDN w:val="0"/>
        <w:adjustRightInd w:val="0"/>
        <w:spacing w:line="360" w:lineRule="auto"/>
        <w:ind w:left="540" w:hanging="360"/>
        <w:rPr>
          <w:color w:val="000000"/>
        </w:rPr>
      </w:pPr>
      <w:r w:rsidRPr="00F13B58">
        <w:rPr>
          <w:color w:val="000000"/>
        </w:rPr>
        <w:t>VFD</w:t>
      </w:r>
      <w:r w:rsidR="002D7BCF">
        <w:rPr>
          <w:color w:val="000000"/>
        </w:rPr>
        <w:t xml:space="preserve"> </w:t>
      </w:r>
      <w:r w:rsidR="000F1160">
        <w:rPr>
          <w:color w:val="000000"/>
        </w:rPr>
        <w:t>is recommended to meet</w:t>
      </w:r>
      <w:r w:rsidRPr="00F13B58">
        <w:rPr>
          <w:color w:val="000000"/>
        </w:rPr>
        <w:t xml:space="preserve"> qualify requirements as specified by IEEE Standard 519-</w:t>
      </w:r>
      <w:r w:rsidR="00BE3658">
        <w:rPr>
          <w:color w:val="000000"/>
        </w:rPr>
        <w:t>201</w:t>
      </w:r>
      <w:r w:rsidR="000F1160">
        <w:rPr>
          <w:color w:val="000000"/>
        </w:rPr>
        <w:t>4</w:t>
      </w:r>
      <w:r w:rsidRPr="00F13B58">
        <w:rPr>
          <w:color w:val="000000"/>
        </w:rPr>
        <w:t>, Recommended Practices and Requirements for Harmonic Control in Electrical Systems.</w:t>
      </w:r>
    </w:p>
    <w:p w:rsidR="00F80D2C" w:rsidRPr="00F13B58" w:rsidRDefault="003540CB" w:rsidP="00324867">
      <w:pPr>
        <w:widowControl w:val="0"/>
        <w:numPr>
          <w:ilvl w:val="0"/>
          <w:numId w:val="40"/>
        </w:numPr>
        <w:autoSpaceDE w:val="0"/>
        <w:autoSpaceDN w:val="0"/>
        <w:adjustRightInd w:val="0"/>
        <w:spacing w:line="360" w:lineRule="auto"/>
        <w:ind w:left="540" w:hanging="324"/>
        <w:rPr>
          <w:color w:val="000000"/>
        </w:rPr>
      </w:pPr>
      <w:r>
        <w:rPr>
          <w:color w:val="000000"/>
        </w:rPr>
        <w:t>Pumping application must currently have the means of varying the pressure/flow (i.e. throttle valve, control valve, etc.)</w:t>
      </w:r>
      <w:r w:rsidR="00F80D2C" w:rsidRPr="00F13B58">
        <w:rPr>
          <w:color w:val="000000"/>
        </w:rPr>
        <w:t>.</w:t>
      </w:r>
    </w:p>
    <w:p w:rsidR="00F80D2C" w:rsidRPr="00F13B58" w:rsidRDefault="00F80D2C" w:rsidP="00F80D2C">
      <w:pPr>
        <w:widowControl w:val="0"/>
        <w:numPr>
          <w:ilvl w:val="0"/>
          <w:numId w:val="40"/>
        </w:numPr>
        <w:autoSpaceDE w:val="0"/>
        <w:autoSpaceDN w:val="0"/>
        <w:adjustRightInd w:val="0"/>
        <w:spacing w:line="360" w:lineRule="auto"/>
        <w:rPr>
          <w:color w:val="000000"/>
        </w:rPr>
      </w:pPr>
      <w:r w:rsidRPr="00F13B58">
        <w:rPr>
          <w:color w:val="000000"/>
        </w:rPr>
        <w:t>Minimum operation of 1,000 hours per year.</w:t>
      </w:r>
    </w:p>
    <w:p w:rsidR="00BA0B1C" w:rsidRDefault="00BA0B1C" w:rsidP="00E35EAA">
      <w:pPr>
        <w:rPr>
          <w:b/>
          <w:i/>
        </w:rPr>
      </w:pPr>
    </w:p>
    <w:p w:rsidR="00BA0B1C" w:rsidRDefault="00BA0B1C" w:rsidP="00E35EAA">
      <w:pPr>
        <w:rPr>
          <w:b/>
          <w:i/>
        </w:rPr>
      </w:pPr>
      <w:r w:rsidRPr="00521920">
        <w:rPr>
          <w:b/>
          <w:i/>
        </w:rPr>
        <w:t>Terms and Conditions</w:t>
      </w:r>
      <w:r>
        <w:rPr>
          <w:b/>
          <w:i/>
        </w:rPr>
        <w:t>:</w:t>
      </w:r>
    </w:p>
    <w:p w:rsidR="00F80D2C" w:rsidRDefault="003540CB" w:rsidP="003540CB">
      <w:pPr>
        <w:widowControl w:val="0"/>
        <w:numPr>
          <w:ilvl w:val="0"/>
          <w:numId w:val="40"/>
        </w:numPr>
        <w:autoSpaceDE w:val="0"/>
        <w:autoSpaceDN w:val="0"/>
        <w:adjustRightInd w:val="0"/>
        <w:spacing w:line="360" w:lineRule="auto"/>
        <w:ind w:left="547" w:hanging="360"/>
        <w:rPr>
          <w:color w:val="000000"/>
        </w:rPr>
      </w:pPr>
      <w:r>
        <w:rPr>
          <w:color w:val="000000"/>
        </w:rPr>
        <w:t>VFD</w:t>
      </w:r>
      <w:r w:rsidR="00F80D2C" w:rsidRPr="00F13B58">
        <w:rPr>
          <w:color w:val="000000"/>
        </w:rPr>
        <w:t xml:space="preserve"> must be used to adjust operation of pump to meet flow/pressure requirements and not simply as a soft starter</w:t>
      </w:r>
      <w:r>
        <w:rPr>
          <w:color w:val="000000"/>
        </w:rPr>
        <w:t>, or for cavitation control.</w:t>
      </w:r>
    </w:p>
    <w:p w:rsidR="003540CB" w:rsidRDefault="003540CB" w:rsidP="003540CB">
      <w:pPr>
        <w:widowControl w:val="0"/>
        <w:numPr>
          <w:ilvl w:val="0"/>
          <w:numId w:val="40"/>
        </w:numPr>
        <w:autoSpaceDE w:val="0"/>
        <w:autoSpaceDN w:val="0"/>
        <w:adjustRightInd w:val="0"/>
        <w:spacing w:line="360" w:lineRule="auto"/>
        <w:ind w:left="547" w:hanging="360"/>
        <w:rPr>
          <w:color w:val="000000"/>
        </w:rPr>
      </w:pPr>
      <w:r>
        <w:rPr>
          <w:color w:val="000000"/>
        </w:rPr>
        <w:t>The VFD must NOT be used for the following pumping applications:</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t>A well pump used to fill a reservoir</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t>A well pump discharging directly into a canal</w:t>
      </w:r>
    </w:p>
    <w:p w:rsidR="003540CB" w:rsidRDefault="003540CB" w:rsidP="003540CB">
      <w:pPr>
        <w:widowControl w:val="0"/>
        <w:numPr>
          <w:ilvl w:val="1"/>
          <w:numId w:val="40"/>
        </w:numPr>
        <w:autoSpaceDE w:val="0"/>
        <w:autoSpaceDN w:val="0"/>
        <w:adjustRightInd w:val="0"/>
        <w:spacing w:line="360" w:lineRule="auto"/>
        <w:rPr>
          <w:color w:val="000000"/>
        </w:rPr>
      </w:pPr>
      <w:r>
        <w:rPr>
          <w:color w:val="000000"/>
        </w:rPr>
        <w:t>A mixed flow pump (high volume, low head)</w:t>
      </w:r>
    </w:p>
    <w:p w:rsidR="00A7358E" w:rsidRDefault="00A7358E" w:rsidP="00A7358E">
      <w:pPr>
        <w:widowControl w:val="0"/>
        <w:numPr>
          <w:ilvl w:val="0"/>
          <w:numId w:val="40"/>
        </w:numPr>
        <w:autoSpaceDE w:val="0"/>
        <w:autoSpaceDN w:val="0"/>
        <w:adjustRightInd w:val="0"/>
        <w:spacing w:line="360" w:lineRule="auto"/>
        <w:ind w:left="547" w:hanging="360"/>
        <w:rPr>
          <w:color w:val="000000"/>
        </w:rPr>
      </w:pPr>
      <w:r>
        <w:rPr>
          <w:color w:val="000000"/>
        </w:rPr>
        <w:t>These rebates are provided to directly installed VFDs on new or existing pumps.</w:t>
      </w:r>
    </w:p>
    <w:p w:rsidR="0081369C" w:rsidRDefault="0081369C" w:rsidP="00A7358E">
      <w:pPr>
        <w:widowControl w:val="0"/>
        <w:numPr>
          <w:ilvl w:val="0"/>
          <w:numId w:val="40"/>
        </w:numPr>
        <w:autoSpaceDE w:val="0"/>
        <w:autoSpaceDN w:val="0"/>
        <w:adjustRightInd w:val="0"/>
        <w:spacing w:line="360" w:lineRule="auto"/>
        <w:ind w:left="547" w:hanging="360"/>
        <w:rPr>
          <w:color w:val="000000"/>
        </w:rPr>
      </w:pPr>
      <w:r>
        <w:rPr>
          <w:color w:val="000000"/>
        </w:rPr>
        <w:t xml:space="preserve">The customer must supply an invoice or other supporting documentation that includes the quantity </w:t>
      </w:r>
      <w:r>
        <w:rPr>
          <w:color w:val="000000"/>
        </w:rPr>
        <w:lastRenderedPageBreak/>
        <w:t>of VFDs, type (well and/or booster), horsepower rating of motor(s) and VFD(s), area map showing physical location of pumps, and the manufacturer make/models of the VFDs installed.</w:t>
      </w:r>
    </w:p>
    <w:p w:rsidR="00BA0B1C" w:rsidRDefault="00BA0B1C" w:rsidP="00E35EAA">
      <w:pPr>
        <w:rPr>
          <w:b/>
          <w:i/>
        </w:rPr>
      </w:pPr>
    </w:p>
    <w:p w:rsidR="00BA0B1C" w:rsidRDefault="00BA0B1C" w:rsidP="00F80D2C">
      <w:pPr>
        <w:rPr>
          <w:b/>
          <w:i/>
        </w:rPr>
      </w:pPr>
      <w:r>
        <w:rPr>
          <w:b/>
          <w:i/>
        </w:rPr>
        <w:t>Market Applicabilit</w:t>
      </w:r>
      <w:r w:rsidRPr="00A562A6">
        <w:rPr>
          <w:b/>
          <w:i/>
        </w:rPr>
        <w:t>y:</w:t>
      </w:r>
    </w:p>
    <w:p w:rsidR="00D053D1" w:rsidRPr="006906BE" w:rsidRDefault="00F80D2C">
      <w:r>
        <w:t xml:space="preserve">This measure is applicable to agricultural pumps in the </w:t>
      </w:r>
      <w:r w:rsidR="003540CB">
        <w:t>PG&amp;E service territory that rely</w:t>
      </w:r>
      <w:r>
        <w:t xml:space="preserve"> on electric pumping to water crops</w:t>
      </w:r>
      <w:r w:rsidR="0081369C">
        <w:t xml:space="preserve"> in the downstream </w:t>
      </w:r>
      <w:r w:rsidR="00EA34B3">
        <w:t xml:space="preserve">and direct install </w:t>
      </w:r>
      <w:r w:rsidR="0081369C">
        <w:t>delivery channel</w:t>
      </w:r>
      <w:r w:rsidR="00EA34B3">
        <w:t>s</w:t>
      </w:r>
      <w:r>
        <w:t>.  Pumps with horsepower outside of allowable ranges must be considered under the customized retrofit or new construction programs, as applicable.</w:t>
      </w:r>
      <w:r w:rsidR="003540CB">
        <w:t xml:space="preserve">  Pumps that do not meet the other restrictions outlined above may also be considered under the customized retrofit or new construction programs.</w:t>
      </w:r>
    </w:p>
    <w:p w:rsidR="00E71EF1" w:rsidRPr="00314FE6" w:rsidRDefault="001248A3" w:rsidP="00B16127">
      <w:pPr>
        <w:pStyle w:val="Heading2"/>
      </w:pPr>
      <w:bookmarkStart w:id="13" w:name="_Toc447098721"/>
      <w:r w:rsidRPr="00314FE6">
        <w:t>1.</w:t>
      </w:r>
      <w:r w:rsidR="00B343BB">
        <w:t>2</w:t>
      </w:r>
      <w:r w:rsidR="00F80D2C">
        <w:t xml:space="preserve"> </w:t>
      </w:r>
      <w:r w:rsidR="00AB797B">
        <w:t>Product Technical Description</w:t>
      </w:r>
      <w:bookmarkEnd w:id="13"/>
    </w:p>
    <w:p w:rsidR="006F085E" w:rsidRDefault="006F085E" w:rsidP="00E35EAA"/>
    <w:p w:rsidR="00B23DB5" w:rsidRPr="00ED663A" w:rsidRDefault="00B23DB5" w:rsidP="00B23DB5">
      <w:r w:rsidRPr="00ED663A">
        <w:t>This measure encourages agricultural customers to install variable frequency drives</w:t>
      </w:r>
      <w:r w:rsidR="004966AF">
        <w:t xml:space="preserve"> </w:t>
      </w:r>
      <w:r w:rsidR="00726523">
        <w:t>in lieu of</w:t>
      </w:r>
      <w:r w:rsidR="003540CB">
        <w:t xml:space="preserve"> throttling control </w:t>
      </w:r>
      <w:r w:rsidRPr="00ED663A">
        <w:t>on their irrigation pumping system</w:t>
      </w:r>
      <w:r>
        <w:t>s</w:t>
      </w:r>
      <w:r w:rsidRPr="00ED663A">
        <w:t>.</w:t>
      </w:r>
    </w:p>
    <w:p w:rsidR="00B23DB5" w:rsidRPr="00ED663A" w:rsidRDefault="00B23DB5" w:rsidP="00B23DB5"/>
    <w:p w:rsidR="00B23DB5" w:rsidRPr="00ED663A" w:rsidRDefault="00B23DB5" w:rsidP="00B23DB5">
      <w:r w:rsidRPr="00ED663A">
        <w:t>The most common pumps used in agricultural irrigation systems are:</w:t>
      </w:r>
    </w:p>
    <w:p w:rsidR="00B23DB5" w:rsidRPr="00ED663A" w:rsidRDefault="00B23DB5" w:rsidP="00B23DB5">
      <w:pPr>
        <w:numPr>
          <w:ilvl w:val="0"/>
          <w:numId w:val="41"/>
        </w:numPr>
      </w:pPr>
      <w:r w:rsidRPr="00ED663A">
        <w:t>Well Pumps</w:t>
      </w:r>
      <w:r>
        <w:t xml:space="preserve"> (typically either vertical turbine or submersible)</w:t>
      </w:r>
    </w:p>
    <w:p w:rsidR="00B23DB5" w:rsidRPr="00ED663A" w:rsidRDefault="00B23DB5" w:rsidP="00B23DB5">
      <w:pPr>
        <w:numPr>
          <w:ilvl w:val="0"/>
          <w:numId w:val="41"/>
        </w:numPr>
      </w:pPr>
      <w:r w:rsidRPr="00ED663A">
        <w:t>Booster Pumps</w:t>
      </w:r>
      <w:r>
        <w:t xml:space="preserve"> (typically </w:t>
      </w:r>
      <w:r w:rsidR="003540CB">
        <w:t xml:space="preserve">vertical turbine, with some inline </w:t>
      </w:r>
      <w:r>
        <w:t>centrifugal)</w:t>
      </w:r>
    </w:p>
    <w:p w:rsidR="00B23DB5" w:rsidRPr="00ED663A" w:rsidRDefault="00B23DB5" w:rsidP="00B23DB5"/>
    <w:p w:rsidR="00B23DB5" w:rsidRDefault="00B23DB5" w:rsidP="00B23DB5">
      <w:r w:rsidRPr="00ED663A">
        <w:t>Turbine pumps are</w:t>
      </w:r>
      <w:r>
        <w:t xml:space="preserve"> commonly</w:t>
      </w:r>
      <w:r w:rsidRPr="00ED663A">
        <w:t xml:space="preserve"> installed in wells and used to pump groundwater to be used for irrigation</w:t>
      </w:r>
      <w:r>
        <w:t xml:space="preserve"> either directly or just pumping well water to the ground level</w:t>
      </w:r>
      <w:r w:rsidRPr="00ED663A">
        <w:t>.</w:t>
      </w:r>
      <w:r>
        <w:t xml:space="preserve">  </w:t>
      </w:r>
    </w:p>
    <w:p w:rsidR="00B23DB5" w:rsidRDefault="00B23DB5" w:rsidP="00B23DB5"/>
    <w:p w:rsidR="00B23DB5" w:rsidRDefault="003540CB" w:rsidP="00B23DB5">
      <w:r>
        <w:t>Booster</w:t>
      </w:r>
      <w:r w:rsidR="00B23DB5">
        <w:t xml:space="preserve"> pumps are typically used to pressurize water for irrigation systems.  </w:t>
      </w:r>
    </w:p>
    <w:p w:rsidR="00B23DB5" w:rsidRDefault="00B23DB5" w:rsidP="00B23DB5"/>
    <w:p w:rsidR="00B23DB5" w:rsidRDefault="00B23DB5" w:rsidP="00B23DB5">
      <w:r>
        <w:t>Variations and uncertainties in irrigation systems lead designers to always over-design irrigation pumps since it is favorable to have too much pressure rather than too little pressure.  Some of the variations or uncertainties include, but are not limited to:</w:t>
      </w:r>
    </w:p>
    <w:p w:rsidR="00B23DB5" w:rsidRDefault="00B23DB5" w:rsidP="00B23DB5">
      <w:pPr>
        <w:numPr>
          <w:ilvl w:val="0"/>
          <w:numId w:val="42"/>
        </w:numPr>
      </w:pPr>
      <w:r>
        <w:t>For drip/micro-irrigation systems, designers always include a safety factor of at least 5 psi</w:t>
      </w:r>
    </w:p>
    <w:p w:rsidR="00B23DB5" w:rsidRDefault="00B23DB5" w:rsidP="00B23DB5">
      <w:pPr>
        <w:numPr>
          <w:ilvl w:val="0"/>
          <w:numId w:val="42"/>
        </w:numPr>
      </w:pPr>
      <w:r>
        <w:t>Pressure from irrigation pipelines turnouts vary over time</w:t>
      </w:r>
    </w:p>
    <w:p w:rsidR="00B23DB5" w:rsidRDefault="00B23DB5" w:rsidP="00B23DB5">
      <w:pPr>
        <w:numPr>
          <w:ilvl w:val="0"/>
          <w:numId w:val="42"/>
        </w:numPr>
      </w:pPr>
      <w:r>
        <w:t>Well water levels vary year to year, and from Spring to Fall</w:t>
      </w:r>
    </w:p>
    <w:p w:rsidR="00B23DB5" w:rsidRDefault="00B23DB5" w:rsidP="00B23DB5">
      <w:pPr>
        <w:numPr>
          <w:ilvl w:val="0"/>
          <w:numId w:val="42"/>
        </w:numPr>
      </w:pPr>
      <w:r>
        <w:t>Pumps may serve more than one type of irrigation system (i.e. drip and sprinkler)</w:t>
      </w:r>
    </w:p>
    <w:p w:rsidR="00B23DB5" w:rsidRDefault="00B23DB5" w:rsidP="00B23DB5">
      <w:pPr>
        <w:numPr>
          <w:ilvl w:val="0"/>
          <w:numId w:val="42"/>
        </w:numPr>
      </w:pPr>
      <w:r>
        <w:t>Pumps may serve multiple fields at different elevations and/or acreage</w:t>
      </w:r>
    </w:p>
    <w:p w:rsidR="00B23DB5" w:rsidRDefault="00B23DB5" w:rsidP="00B23DB5"/>
    <w:p w:rsidR="00B23DB5" w:rsidRDefault="00B23DB5" w:rsidP="00B23DB5">
      <w:r>
        <w:t>Based on conversations with experts in the field, designers over-design by at least 10% (very conservative estimate)</w:t>
      </w:r>
      <w:r>
        <w:rPr>
          <w:rStyle w:val="EndnoteReference"/>
        </w:rPr>
        <w:endnoteReference w:id="1"/>
      </w:r>
      <w:r>
        <w:t xml:space="preserve">.  Thus, variable frequency drives for irrigation pumps have great potential for energy savings by adjusting the pump speed to produce the desired flow and/or pressure for the irrigation system.  </w:t>
      </w:r>
    </w:p>
    <w:p w:rsidR="00B23DB5" w:rsidRDefault="00B23DB5" w:rsidP="00B23DB5"/>
    <w:p w:rsidR="00B23DB5" w:rsidRDefault="00B23DB5" w:rsidP="00B23DB5">
      <w:r>
        <w:t>Operating the pumps at very low capacities should be avoided.  If the capacity is too low, overheating of water caused by friction between water and impeller can damage the pump.  Also operating at capacities less than 30% of the design capacity will not only significantly reduce the pump efficiency but it can increase the radial load on the impeller and cause early failure of bearings.  Operating at near</w:t>
      </w:r>
      <w:r w:rsidR="00324867">
        <w:t xml:space="preserve"> </w:t>
      </w:r>
      <w:r>
        <w:t xml:space="preserve">100% of design capacity will consume more energy than prior to VFD installation.  </w:t>
      </w:r>
      <w:r w:rsidRPr="00ED663A">
        <w:t xml:space="preserve">  </w:t>
      </w:r>
    </w:p>
    <w:p w:rsidR="00090529" w:rsidRDefault="00090529" w:rsidP="00E35EAA"/>
    <w:p w:rsidR="00B23DB5" w:rsidRDefault="00B23DB5" w:rsidP="00E35EAA">
      <w:r>
        <w:t>Irrigation pump operating hours vary widely depending on the type of crop.  Additionally farms may provide irrigation to more than one crop type.  Operating hours typical vary from around 1000 hours to over 3000 hours based on the project data received for analyses in this work paper.</w:t>
      </w:r>
    </w:p>
    <w:p w:rsidR="00D21E2F" w:rsidRPr="00314FE6" w:rsidRDefault="00D21E2F" w:rsidP="00B16127">
      <w:pPr>
        <w:pStyle w:val="Heading2"/>
      </w:pPr>
      <w:bookmarkStart w:id="14" w:name="_Toc447098722"/>
      <w:r w:rsidRPr="00314FE6">
        <w:lastRenderedPageBreak/>
        <w:t>1.</w:t>
      </w:r>
      <w:r>
        <w:t>3</w:t>
      </w:r>
      <w:r w:rsidR="00B23DB5">
        <w:t xml:space="preserve"> </w:t>
      </w:r>
      <w:r w:rsidRPr="00D21E2F">
        <w:t>Measure Application Type</w:t>
      </w:r>
      <w:bookmarkEnd w:id="14"/>
    </w:p>
    <w:p w:rsidR="00915877" w:rsidRDefault="00915877" w:rsidP="00A20584">
      <w:pPr>
        <w:pStyle w:val="Caption"/>
        <w:keepNext/>
      </w:pPr>
      <w:bookmarkStart w:id="15" w:name="_Toc388541911"/>
    </w:p>
    <w:bookmarkEnd w:id="15"/>
    <w:p w:rsidR="00A70B68" w:rsidRDefault="00A70B68" w:rsidP="00A70B68">
      <w:pPr>
        <w:pStyle w:val="Caption"/>
        <w:keepNext/>
        <w:jc w:val="center"/>
      </w:pPr>
      <w:r>
        <w:t xml:space="preserve">Table </w:t>
      </w:r>
      <w:fldSimple w:instr=" SEQ Table \* ARABIC ">
        <w:r w:rsidR="00A1737C">
          <w:rPr>
            <w:noProof/>
          </w:rPr>
          <w:t>2</w:t>
        </w:r>
      </w:fldSimple>
      <w:r>
        <w:t xml:space="preserve"> Measure Application Type</w:t>
      </w: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A20584" w:rsidRPr="00707A61" w:rsidTr="00606E8D">
        <w:trPr>
          <w:trHeight w:val="315"/>
        </w:trPr>
        <w:tc>
          <w:tcPr>
            <w:tcW w:w="90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Code</w:t>
            </w:r>
          </w:p>
        </w:tc>
        <w:tc>
          <w:tcPr>
            <w:tcW w:w="261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Description</w:t>
            </w:r>
          </w:p>
        </w:tc>
        <w:tc>
          <w:tcPr>
            <w:tcW w:w="558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Comment</w:t>
            </w:r>
          </w:p>
        </w:tc>
      </w:tr>
      <w:tr w:rsidR="00A20584" w:rsidRPr="00707A61" w:rsidTr="00606E8D">
        <w:trPr>
          <w:trHeight w:val="600"/>
        </w:trPr>
        <w:tc>
          <w:tcPr>
            <w:tcW w:w="900" w:type="dxa"/>
            <w:shd w:val="clear" w:color="auto" w:fill="D9D9D9" w:themeFill="background1" w:themeFillShade="D9"/>
            <w:noWrap/>
            <w:vAlign w:val="center"/>
            <w:hideMark/>
          </w:tcPr>
          <w:p w:rsidR="00A20584" w:rsidRPr="00707A61" w:rsidRDefault="00A20584" w:rsidP="00606E8D">
            <w:pPr>
              <w:keepNext/>
            </w:pPr>
            <w:r w:rsidRPr="00707A61">
              <w:t>REA</w:t>
            </w:r>
          </w:p>
        </w:tc>
        <w:tc>
          <w:tcPr>
            <w:tcW w:w="2610" w:type="dxa"/>
            <w:shd w:val="clear" w:color="auto" w:fill="D9D9D9" w:themeFill="background1" w:themeFillShade="D9"/>
            <w:noWrap/>
            <w:vAlign w:val="center"/>
            <w:hideMark/>
          </w:tcPr>
          <w:p w:rsidR="00A20584" w:rsidRPr="00707A61" w:rsidRDefault="00A20584" w:rsidP="00606E8D">
            <w:pPr>
              <w:keepNext/>
            </w:pPr>
            <w:r w:rsidRPr="00707A61">
              <w:t>Retrofit Add On</w:t>
            </w:r>
          </w:p>
        </w:tc>
        <w:tc>
          <w:tcPr>
            <w:tcW w:w="5580" w:type="dxa"/>
            <w:shd w:val="clear" w:color="auto" w:fill="D9D9D9" w:themeFill="background1" w:themeFillShade="D9"/>
            <w:vAlign w:val="center"/>
            <w:hideMark/>
          </w:tcPr>
          <w:p w:rsidR="00A20584" w:rsidRPr="00B84E60" w:rsidRDefault="00A20584" w:rsidP="00606E8D">
            <w:pPr>
              <w:keepNext/>
              <w:rPr>
                <w:iCs/>
              </w:rPr>
            </w:pPr>
            <w:r w:rsidRPr="00B84E60">
              <w:rPr>
                <w:iCs/>
              </w:rPr>
              <w:t>Single baseline (above pre-existing), full measure costs required</w:t>
            </w:r>
          </w:p>
        </w:tc>
      </w:tr>
      <w:tr w:rsidR="00611027" w:rsidRPr="00707A61" w:rsidTr="00606E8D">
        <w:trPr>
          <w:trHeight w:val="600"/>
        </w:trPr>
        <w:tc>
          <w:tcPr>
            <w:tcW w:w="900" w:type="dxa"/>
            <w:shd w:val="clear" w:color="auto" w:fill="D9D9D9" w:themeFill="background1" w:themeFillShade="D9"/>
            <w:noWrap/>
            <w:vAlign w:val="center"/>
          </w:tcPr>
          <w:p w:rsidR="00611027" w:rsidRPr="00707A61" w:rsidRDefault="00611027" w:rsidP="00606E8D">
            <w:pPr>
              <w:keepNext/>
            </w:pPr>
            <w:r>
              <w:t>NC</w:t>
            </w:r>
          </w:p>
        </w:tc>
        <w:tc>
          <w:tcPr>
            <w:tcW w:w="2610" w:type="dxa"/>
            <w:shd w:val="clear" w:color="auto" w:fill="D9D9D9" w:themeFill="background1" w:themeFillShade="D9"/>
            <w:noWrap/>
            <w:vAlign w:val="center"/>
          </w:tcPr>
          <w:p w:rsidR="00611027" w:rsidRPr="00707A61" w:rsidRDefault="00611027" w:rsidP="00606E8D">
            <w:pPr>
              <w:keepNext/>
            </w:pPr>
            <w:r>
              <w:t>New Construction</w:t>
            </w:r>
          </w:p>
        </w:tc>
        <w:tc>
          <w:tcPr>
            <w:tcW w:w="5580" w:type="dxa"/>
            <w:shd w:val="clear" w:color="auto" w:fill="D9D9D9" w:themeFill="background1" w:themeFillShade="D9"/>
            <w:vAlign w:val="center"/>
          </w:tcPr>
          <w:p w:rsidR="00611027" w:rsidRPr="00B84E60" w:rsidRDefault="00D617A7" w:rsidP="00D617A7">
            <w:pPr>
              <w:keepNext/>
              <w:rPr>
                <w:iCs/>
              </w:rPr>
            </w:pPr>
            <w:r w:rsidRPr="00D617A7">
              <w:rPr>
                <w:iCs/>
              </w:rPr>
              <w:t xml:space="preserve">Single baseline (above </w:t>
            </w:r>
            <w:r>
              <w:rPr>
                <w:iCs/>
              </w:rPr>
              <w:t>industry standard</w:t>
            </w:r>
            <w:r w:rsidRPr="00D617A7">
              <w:rPr>
                <w:iCs/>
              </w:rPr>
              <w:t xml:space="preserve">), </w:t>
            </w:r>
            <w:r>
              <w:rPr>
                <w:iCs/>
              </w:rPr>
              <w:t>incremental</w:t>
            </w:r>
            <w:r w:rsidRPr="00D617A7">
              <w:rPr>
                <w:iCs/>
              </w:rPr>
              <w:t xml:space="preserve"> measure costs required</w:t>
            </w:r>
          </w:p>
        </w:tc>
      </w:tr>
    </w:tbl>
    <w:p w:rsidR="00A20584" w:rsidRDefault="00A20584" w:rsidP="00A20584">
      <w:pPr>
        <w:keepNext/>
        <w:rPr>
          <w:i/>
          <w:highlight w:val="cyan"/>
        </w:rPr>
      </w:pPr>
    </w:p>
    <w:p w:rsidR="00D21E2F" w:rsidRPr="007F2477" w:rsidRDefault="00D21E2F" w:rsidP="00E35EAA"/>
    <w:p w:rsidR="006E1F4B" w:rsidRDefault="00970DEF" w:rsidP="00E35EAA">
      <w:pPr>
        <w:rPr>
          <w:color w:val="000000" w:themeColor="text1"/>
        </w:rPr>
      </w:pPr>
      <w:r w:rsidRPr="00970DEF">
        <w:t>The Base Case assumes a constant speed well or booster agricultural pump controlled to operate by throttling the flow based on irrigation needs.</w:t>
      </w:r>
      <w:r w:rsidR="007F2477" w:rsidRPr="00970DEF">
        <w:t xml:space="preserve"> </w:t>
      </w:r>
      <w:r w:rsidRPr="00970DEF">
        <w:t xml:space="preserve"> </w:t>
      </w:r>
      <w:r w:rsidR="007F2477" w:rsidRPr="00970DEF">
        <w:t xml:space="preserve">The Measure Case is considered to be </w:t>
      </w:r>
      <w:r w:rsidR="008634F1" w:rsidRPr="00970DEF">
        <w:t xml:space="preserve">a pump that </w:t>
      </w:r>
      <w:r w:rsidRPr="00970DEF">
        <w:t>will use a VFD for adjusting the flow/pressure to the facility’s irrigation needs</w:t>
      </w:r>
      <w:r w:rsidR="008634F1" w:rsidRPr="00970DEF">
        <w:t xml:space="preserve">. </w:t>
      </w:r>
      <w:r w:rsidR="00D053D1" w:rsidRPr="00D053D1">
        <w:rPr>
          <w:color w:val="000000" w:themeColor="text1"/>
        </w:rPr>
        <w:t xml:space="preserve">The measure application types considered for </w:t>
      </w:r>
      <w:r w:rsidR="006E1F4B">
        <w:rPr>
          <w:color w:val="000000" w:themeColor="text1"/>
        </w:rPr>
        <w:t>this work</w:t>
      </w:r>
      <w:r w:rsidR="00BE3658">
        <w:rPr>
          <w:color w:val="000000" w:themeColor="text1"/>
        </w:rPr>
        <w:t xml:space="preserve"> </w:t>
      </w:r>
      <w:r w:rsidR="006E1F4B">
        <w:rPr>
          <w:color w:val="000000" w:themeColor="text1"/>
        </w:rPr>
        <w:t>paper are as follows:</w:t>
      </w:r>
    </w:p>
    <w:p w:rsidR="006E1F4B" w:rsidRPr="006E1F4B" w:rsidRDefault="006E1F4B" w:rsidP="006E1F4B">
      <w:pPr>
        <w:pStyle w:val="ListParagraph"/>
        <w:numPr>
          <w:ilvl w:val="0"/>
          <w:numId w:val="47"/>
        </w:numPr>
        <w:rPr>
          <w:color w:val="000000" w:themeColor="text1"/>
        </w:rPr>
      </w:pPr>
      <w:r>
        <w:rPr>
          <w:color w:val="000000" w:themeColor="text1"/>
        </w:rPr>
        <w:t xml:space="preserve">Agricultural Well Pumps </w:t>
      </w:r>
      <w:r w:rsidRPr="00F80D2C">
        <w:rPr>
          <w:sz w:val="18"/>
        </w:rPr>
        <w:t>(&lt;=300HP)</w:t>
      </w:r>
      <w:r>
        <w:rPr>
          <w:sz w:val="18"/>
        </w:rPr>
        <w:t xml:space="preserve">: </w:t>
      </w:r>
      <w:r>
        <w:rPr>
          <w:sz w:val="18"/>
        </w:rPr>
        <w:tab/>
        <w:t>REA</w:t>
      </w:r>
      <w:r w:rsidR="003F38BE">
        <w:rPr>
          <w:sz w:val="18"/>
        </w:rPr>
        <w:t xml:space="preserve">, </w:t>
      </w:r>
      <w:r w:rsidR="00852061">
        <w:rPr>
          <w:sz w:val="18"/>
        </w:rPr>
        <w:t>NC</w:t>
      </w:r>
    </w:p>
    <w:p w:rsidR="006E1F4B" w:rsidRPr="00D4289E" w:rsidRDefault="006E1F4B" w:rsidP="006E1F4B">
      <w:pPr>
        <w:pStyle w:val="ListParagraph"/>
        <w:numPr>
          <w:ilvl w:val="0"/>
          <w:numId w:val="47"/>
        </w:numPr>
        <w:rPr>
          <w:color w:val="000000" w:themeColor="text1"/>
        </w:rPr>
      </w:pPr>
      <w:r w:rsidRPr="00D4289E">
        <w:t>Agricultural Booster Pumps (&lt;=150HP):</w:t>
      </w:r>
      <w:r w:rsidRPr="00D4289E">
        <w:tab/>
        <w:t>REA, NC</w:t>
      </w:r>
    </w:p>
    <w:p w:rsidR="008634F1" w:rsidRDefault="008634F1" w:rsidP="00E35EAA"/>
    <w:p w:rsidR="007903E2" w:rsidRDefault="001248A3" w:rsidP="00A70B68">
      <w:pPr>
        <w:pStyle w:val="Heading2"/>
      </w:pPr>
      <w:bookmarkStart w:id="16" w:name="_Toc447098723"/>
      <w:r w:rsidRPr="00314FE6">
        <w:t>1.</w:t>
      </w:r>
      <w:r w:rsidR="00806070" w:rsidRPr="00314FE6">
        <w:t>4</w:t>
      </w:r>
      <w:r w:rsidR="007D16A5">
        <w:t xml:space="preserve"> </w:t>
      </w:r>
      <w:r w:rsidR="00AB797B">
        <w:t>Product Base Case and Measure Case Data</w:t>
      </w:r>
      <w:bookmarkEnd w:id="16"/>
    </w:p>
    <w:p w:rsidR="00F00C6F" w:rsidRPr="00314FE6" w:rsidRDefault="00F00C6F" w:rsidP="00B16127">
      <w:pPr>
        <w:pStyle w:val="Heading2"/>
      </w:pPr>
      <w:bookmarkStart w:id="17" w:name="_Toc447098724"/>
      <w:r w:rsidRPr="00314FE6">
        <w:t>1.</w:t>
      </w:r>
      <w:r>
        <w:t>4.1</w:t>
      </w:r>
      <w:r w:rsidR="007D16A5">
        <w:t xml:space="preserve"> </w:t>
      </w:r>
      <w:r>
        <w:t>DEER Base Case and Measure Case Information</w:t>
      </w:r>
      <w:bookmarkEnd w:id="17"/>
    </w:p>
    <w:p w:rsidR="006452D7" w:rsidRDefault="006452D7" w:rsidP="00E35EAA"/>
    <w:p w:rsidR="00A70B68" w:rsidRDefault="00A70B68" w:rsidP="00A70B68">
      <w:pPr>
        <w:pStyle w:val="Caption"/>
        <w:keepNext/>
        <w:jc w:val="center"/>
      </w:pPr>
      <w:r>
        <w:t xml:space="preserve">Table </w:t>
      </w:r>
      <w:fldSimple w:instr=" SEQ Table \* ARABIC ">
        <w:r w:rsidR="00A1737C">
          <w:rPr>
            <w:noProof/>
          </w:rPr>
          <w:t>3</w:t>
        </w:r>
      </w:fldSimple>
      <w:r>
        <w:t xml:space="preserve"> DEER Difference Summary</w:t>
      </w:r>
    </w:p>
    <w:tbl>
      <w:tblPr>
        <w:tblW w:w="0" w:type="auto"/>
        <w:jc w:val="center"/>
        <w:tblInd w:w="-4618" w:type="dxa"/>
        <w:tblBorders>
          <w:insideH w:val="single" w:sz="18" w:space="0" w:color="FFFFFF"/>
          <w:insideV w:val="single" w:sz="18" w:space="0" w:color="FFFFFF"/>
        </w:tblBorders>
        <w:tblLook w:val="04A0" w:firstRow="1" w:lastRow="0" w:firstColumn="1" w:lastColumn="0" w:noHBand="0" w:noVBand="1"/>
      </w:tblPr>
      <w:tblGrid>
        <w:gridCol w:w="3173"/>
        <w:gridCol w:w="5513"/>
      </w:tblGrid>
      <w:tr w:rsidR="006A035C" w:rsidRPr="006A035C" w:rsidTr="00C21706">
        <w:trPr>
          <w:jc w:val="center"/>
        </w:trPr>
        <w:tc>
          <w:tcPr>
            <w:tcW w:w="8686" w:type="dxa"/>
            <w:gridSpan w:val="2"/>
            <w:shd w:val="pct20" w:color="000000" w:fill="FFFFFF"/>
            <w:vAlign w:val="center"/>
          </w:tcPr>
          <w:p w:rsidR="006A035C" w:rsidRPr="00C21706" w:rsidRDefault="006A035C" w:rsidP="00C21706">
            <w:pPr>
              <w:jc w:val="center"/>
              <w:rPr>
                <w:b/>
                <w:bCs/>
              </w:rPr>
            </w:pPr>
            <w:r w:rsidRPr="00C21706">
              <w:rPr>
                <w:b/>
                <w:bCs/>
              </w:rPr>
              <w:t>DEER Difference Summary Table</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Modified DEER Methodol</w:t>
            </w:r>
            <w:r w:rsidR="006064DF">
              <w:t>o</w:t>
            </w:r>
            <w:r w:rsidRPr="006A035C">
              <w:t>gy</w:t>
            </w:r>
          </w:p>
        </w:tc>
        <w:tc>
          <w:tcPr>
            <w:tcW w:w="5513" w:type="dxa"/>
            <w:shd w:val="pct5" w:color="000000" w:fill="FFFFFF"/>
            <w:vAlign w:val="center"/>
          </w:tcPr>
          <w:p w:rsidR="006A035C" w:rsidRPr="00C21706" w:rsidRDefault="006A035C" w:rsidP="00C21706">
            <w:pPr>
              <w:jc w:val="center"/>
              <w:rPr>
                <w:b/>
              </w:rP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Scaled DEER Measure</w:t>
            </w:r>
          </w:p>
        </w:tc>
        <w:tc>
          <w:tcPr>
            <w:tcW w:w="5513" w:type="dxa"/>
            <w:shd w:val="pct20"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Building Prototypes Used</w:t>
            </w:r>
          </w:p>
        </w:tc>
        <w:tc>
          <w:tcPr>
            <w:tcW w:w="5513" w:type="dxa"/>
            <w:shd w:val="pct5"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Deviation from DEER</w:t>
            </w:r>
          </w:p>
        </w:tc>
        <w:tc>
          <w:tcPr>
            <w:tcW w:w="5513" w:type="dxa"/>
            <w:shd w:val="pct20" w:color="000000" w:fill="FFFFFF"/>
            <w:vAlign w:val="center"/>
          </w:tcPr>
          <w:p w:rsidR="006A035C" w:rsidRPr="006A035C" w:rsidRDefault="00045B0A" w:rsidP="00C21706">
            <w:pPr>
              <w:jc w:val="center"/>
            </w:pPr>
            <w:r>
              <w:t>No</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Version</w:t>
            </w:r>
          </w:p>
        </w:tc>
        <w:tc>
          <w:tcPr>
            <w:tcW w:w="5513" w:type="dxa"/>
            <w:shd w:val="pct5" w:color="000000" w:fill="FFFFFF"/>
            <w:vAlign w:val="center"/>
          </w:tcPr>
          <w:p w:rsidR="006A035C" w:rsidRPr="006A035C" w:rsidRDefault="006A035C" w:rsidP="00661B9C">
            <w:pPr>
              <w:jc w:val="center"/>
            </w:pPr>
            <w:r w:rsidRPr="006A035C">
              <w:t>DEER 201</w:t>
            </w:r>
            <w:r w:rsidR="00045B0A">
              <w:t>6</w:t>
            </w:r>
            <w:r w:rsidR="00A70B68">
              <w:t>, READI v2.3.0</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DEER Run ID and Measure Name (Sample)</w:t>
            </w:r>
          </w:p>
        </w:tc>
        <w:tc>
          <w:tcPr>
            <w:tcW w:w="5513" w:type="dxa"/>
            <w:shd w:val="pct20" w:color="000000" w:fill="FFFFFF"/>
            <w:vAlign w:val="center"/>
          </w:tcPr>
          <w:p w:rsidR="006A035C" w:rsidRPr="006A035C" w:rsidRDefault="00045B0A" w:rsidP="00064F46">
            <w:pPr>
              <w:jc w:val="center"/>
            </w:pPr>
            <w:r>
              <w:t>IR006, IR007</w:t>
            </w:r>
          </w:p>
        </w:tc>
      </w:tr>
    </w:tbl>
    <w:p w:rsidR="006A035C" w:rsidRDefault="006A035C" w:rsidP="00E35EAA"/>
    <w:p w:rsidR="00A70B68" w:rsidRDefault="00A70B68" w:rsidP="00A70B68">
      <w:pPr>
        <w:pStyle w:val="NoSpacing"/>
        <w:rPr>
          <w:rFonts w:ascii="Arial" w:hAnsi="Arial" w:cs="Arial"/>
          <w:sz w:val="20"/>
          <w:szCs w:val="20"/>
        </w:rPr>
      </w:pPr>
      <w:r w:rsidRPr="00A70B68">
        <w:rPr>
          <w:rFonts w:ascii="Arial" w:hAnsi="Arial" w:cs="Arial"/>
          <w:sz w:val="20"/>
          <w:szCs w:val="20"/>
        </w:rPr>
        <w:t>The IR values were obtained using the DEER READI tool. The relevant IR values for the measures in this work paper are in the table below</w:t>
      </w:r>
      <w:r>
        <w:rPr>
          <w:rFonts w:ascii="Arial" w:hAnsi="Arial" w:cs="Arial"/>
          <w:sz w:val="20"/>
          <w:szCs w:val="20"/>
        </w:rPr>
        <w:t>:</w:t>
      </w:r>
    </w:p>
    <w:p w:rsidR="00A70B68" w:rsidRPr="00A70B68" w:rsidRDefault="00A70B68" w:rsidP="00A70B68">
      <w:pPr>
        <w:pStyle w:val="NoSpacing"/>
        <w:rPr>
          <w:rFonts w:ascii="Arial" w:hAnsi="Arial" w:cs="Arial"/>
          <w:sz w:val="20"/>
          <w:szCs w:val="20"/>
        </w:rPr>
      </w:pPr>
    </w:p>
    <w:p w:rsidR="00A70B68" w:rsidRDefault="00A70B68" w:rsidP="00A70B68">
      <w:pPr>
        <w:pStyle w:val="Caption"/>
        <w:keepNext/>
        <w:jc w:val="center"/>
      </w:pPr>
      <w:r>
        <w:t xml:space="preserve">Table </w:t>
      </w:r>
      <w:fldSimple w:instr=" SEQ Table \* ARABIC ">
        <w:r w:rsidR="00A1737C">
          <w:rPr>
            <w:noProof/>
          </w:rPr>
          <w:t>4</w:t>
        </w:r>
      </w:fldSimple>
      <w:r>
        <w:t xml:space="preserve"> Installation Rate</w:t>
      </w:r>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A70B68" w:rsidRPr="00A70B68" w:rsidTr="00A70B68">
        <w:tc>
          <w:tcPr>
            <w:tcW w:w="716" w:type="pct"/>
            <w:shd w:val="clear" w:color="auto" w:fill="D9D9D9" w:themeFill="background1" w:themeFillShade="D9"/>
          </w:tcPr>
          <w:p w:rsidR="00A70B68" w:rsidRPr="00A70B68" w:rsidRDefault="00A70B68" w:rsidP="000C4442">
            <w:pPr>
              <w:rPr>
                <w:b/>
              </w:rPr>
            </w:pPr>
            <w:r w:rsidRPr="00A70B68">
              <w:rPr>
                <w:b/>
              </w:rPr>
              <w:t>GSIA ID</w:t>
            </w:r>
          </w:p>
        </w:tc>
        <w:tc>
          <w:tcPr>
            <w:tcW w:w="1398" w:type="pct"/>
            <w:shd w:val="clear" w:color="auto" w:fill="D9D9D9" w:themeFill="background1" w:themeFillShade="D9"/>
          </w:tcPr>
          <w:p w:rsidR="00A70B68" w:rsidRPr="00A70B68" w:rsidRDefault="00A70B68" w:rsidP="000C4442">
            <w:pPr>
              <w:rPr>
                <w:b/>
              </w:rPr>
            </w:pPr>
            <w:r w:rsidRPr="00A70B68">
              <w:rPr>
                <w:b/>
              </w:rPr>
              <w:t>Description</w:t>
            </w:r>
          </w:p>
        </w:tc>
        <w:tc>
          <w:tcPr>
            <w:tcW w:w="682" w:type="pct"/>
            <w:shd w:val="clear" w:color="auto" w:fill="D9D9D9" w:themeFill="background1" w:themeFillShade="D9"/>
          </w:tcPr>
          <w:p w:rsidR="00A70B68" w:rsidRPr="00A70B68" w:rsidRDefault="00A70B68" w:rsidP="000C4442">
            <w:pPr>
              <w:rPr>
                <w:b/>
              </w:rPr>
            </w:pPr>
            <w:r w:rsidRPr="00A70B68">
              <w:rPr>
                <w:b/>
              </w:rPr>
              <w:t>Sector</w:t>
            </w:r>
          </w:p>
        </w:tc>
        <w:tc>
          <w:tcPr>
            <w:tcW w:w="852" w:type="pct"/>
            <w:shd w:val="clear" w:color="auto" w:fill="D9D9D9" w:themeFill="background1" w:themeFillShade="D9"/>
          </w:tcPr>
          <w:p w:rsidR="00A70B68" w:rsidRPr="00A70B68" w:rsidRDefault="00A70B68" w:rsidP="000C4442">
            <w:pPr>
              <w:rPr>
                <w:b/>
              </w:rPr>
            </w:pPr>
            <w:proofErr w:type="spellStart"/>
            <w:r w:rsidRPr="00A70B68">
              <w:rPr>
                <w:b/>
              </w:rPr>
              <w:t>BldgType</w:t>
            </w:r>
            <w:proofErr w:type="spellEnd"/>
          </w:p>
        </w:tc>
        <w:tc>
          <w:tcPr>
            <w:tcW w:w="705" w:type="pct"/>
            <w:shd w:val="clear" w:color="auto" w:fill="D9D9D9" w:themeFill="background1" w:themeFillShade="D9"/>
          </w:tcPr>
          <w:p w:rsidR="00A70B68" w:rsidRPr="00A70B68" w:rsidRDefault="00A70B68" w:rsidP="000C4442">
            <w:pPr>
              <w:rPr>
                <w:b/>
              </w:rPr>
            </w:pPr>
            <w:proofErr w:type="spellStart"/>
            <w:r w:rsidRPr="00A70B68">
              <w:rPr>
                <w:b/>
              </w:rPr>
              <w:t>ProgDelivID</w:t>
            </w:r>
            <w:proofErr w:type="spellEnd"/>
          </w:p>
        </w:tc>
        <w:tc>
          <w:tcPr>
            <w:tcW w:w="647" w:type="pct"/>
            <w:shd w:val="clear" w:color="auto" w:fill="D9D9D9" w:themeFill="background1" w:themeFillShade="D9"/>
          </w:tcPr>
          <w:p w:rsidR="00A70B68" w:rsidRPr="00A70B68" w:rsidRDefault="00A70B68" w:rsidP="000C4442">
            <w:pPr>
              <w:rPr>
                <w:b/>
              </w:rPr>
            </w:pPr>
            <w:proofErr w:type="spellStart"/>
            <w:r w:rsidRPr="00A70B68">
              <w:rPr>
                <w:b/>
              </w:rPr>
              <w:t>GSIAValue</w:t>
            </w:r>
            <w:proofErr w:type="spellEnd"/>
          </w:p>
        </w:tc>
      </w:tr>
      <w:tr w:rsidR="00A70B68" w:rsidRPr="00A70B68" w:rsidTr="00A70B68">
        <w:tc>
          <w:tcPr>
            <w:tcW w:w="716" w:type="pct"/>
          </w:tcPr>
          <w:p w:rsidR="00A70B68" w:rsidRPr="00A70B68" w:rsidRDefault="00A70B68" w:rsidP="000C4442">
            <w:r w:rsidRPr="00A70B68">
              <w:t>Def-GSIA</w:t>
            </w:r>
          </w:p>
        </w:tc>
        <w:tc>
          <w:tcPr>
            <w:tcW w:w="1398" w:type="pct"/>
          </w:tcPr>
          <w:p w:rsidR="00A70B68" w:rsidRPr="00A70B68" w:rsidRDefault="00A70B68" w:rsidP="000C4442">
            <w:r w:rsidRPr="00A70B68">
              <w:t>Default GSIA values</w:t>
            </w:r>
          </w:p>
        </w:tc>
        <w:tc>
          <w:tcPr>
            <w:tcW w:w="682" w:type="pct"/>
          </w:tcPr>
          <w:p w:rsidR="00A70B68" w:rsidRPr="00A70B68" w:rsidRDefault="00A70B68" w:rsidP="000C4442">
            <w:r w:rsidRPr="00A70B68">
              <w:t>Any</w:t>
            </w:r>
          </w:p>
        </w:tc>
        <w:tc>
          <w:tcPr>
            <w:tcW w:w="852" w:type="pct"/>
          </w:tcPr>
          <w:p w:rsidR="00A70B68" w:rsidRPr="00A70B68" w:rsidRDefault="00A70B68" w:rsidP="000C4442">
            <w:r w:rsidRPr="00A70B68">
              <w:t>Any</w:t>
            </w:r>
          </w:p>
        </w:tc>
        <w:tc>
          <w:tcPr>
            <w:tcW w:w="705" w:type="pct"/>
          </w:tcPr>
          <w:p w:rsidR="00A70B68" w:rsidRPr="00A70B68" w:rsidRDefault="00A70B68" w:rsidP="000C4442">
            <w:r w:rsidRPr="00A70B68">
              <w:t>Any</w:t>
            </w:r>
          </w:p>
        </w:tc>
        <w:tc>
          <w:tcPr>
            <w:tcW w:w="647" w:type="pct"/>
          </w:tcPr>
          <w:p w:rsidR="00A70B68" w:rsidRPr="00A70B68" w:rsidRDefault="00A70B68" w:rsidP="000C4442">
            <w:r w:rsidRPr="00A70B68">
              <w:t>1</w:t>
            </w:r>
          </w:p>
        </w:tc>
      </w:tr>
    </w:tbl>
    <w:p w:rsidR="006E1F4B" w:rsidRDefault="006E1F4B" w:rsidP="00E35EAA"/>
    <w:p w:rsidR="00A70B68" w:rsidRPr="00A70B68" w:rsidRDefault="00A70B68" w:rsidP="00A70B68">
      <w:pPr>
        <w:pStyle w:val="Reminders"/>
        <w:rPr>
          <w:rFonts w:ascii="Arial" w:hAnsi="Arial"/>
          <w:i w:val="0"/>
          <w:color w:val="auto"/>
          <w:szCs w:val="22"/>
        </w:rPr>
      </w:pPr>
      <w:r w:rsidRPr="00A70B68">
        <w:rPr>
          <w:rFonts w:ascii="Arial" w:hAnsi="Arial"/>
          <w:i w:val="0"/>
          <w:color w:val="auto"/>
          <w:szCs w:val="22"/>
        </w:rPr>
        <w:t>Spillage rates are not tracked in work papers; they are tracked in an external document which will be supplied to the Commission Staff.</w:t>
      </w:r>
    </w:p>
    <w:p w:rsidR="00A70B68" w:rsidRDefault="00A70B68" w:rsidP="00E35EAA"/>
    <w:p w:rsidR="00AA6DDA" w:rsidRDefault="00045B0A" w:rsidP="00045B0A">
      <w:r w:rsidRPr="00045B0A">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w:t>
      </w:r>
      <w:r w:rsidR="00A70B68">
        <w:t xml:space="preserve"> table below:</w:t>
      </w:r>
    </w:p>
    <w:p w:rsidR="00C45BFA" w:rsidRDefault="00C45BFA" w:rsidP="00E35EAA"/>
    <w:p w:rsidR="00FD03E1" w:rsidRDefault="00FD03E1" w:rsidP="00E35EAA"/>
    <w:p w:rsidR="00FD03E1" w:rsidRPr="00B341B7" w:rsidRDefault="00FD03E1" w:rsidP="00E35EAA"/>
    <w:p w:rsidR="00A70B68" w:rsidRDefault="00A70B68" w:rsidP="00A70B68">
      <w:pPr>
        <w:pStyle w:val="Caption"/>
        <w:keepNext/>
        <w:jc w:val="center"/>
      </w:pPr>
      <w:r>
        <w:lastRenderedPageBreak/>
        <w:t xml:space="preserve">Table </w:t>
      </w:r>
      <w:fldSimple w:instr=" SEQ Table \* ARABIC ">
        <w:r w:rsidR="00A1737C">
          <w:rPr>
            <w:noProof/>
          </w:rPr>
          <w:t>5</w:t>
        </w:r>
      </w:fldSimple>
      <w:r>
        <w:t xml:space="preserve"> DEER2016 EUL and RUL</w:t>
      </w:r>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045B0A" w:rsidRPr="00045B0A" w:rsidTr="00A70B68">
        <w:tc>
          <w:tcPr>
            <w:tcW w:w="808" w:type="pct"/>
            <w:shd w:val="clear" w:color="auto" w:fill="D9D9D9" w:themeFill="background1" w:themeFillShade="D9"/>
          </w:tcPr>
          <w:p w:rsidR="00045B0A" w:rsidRPr="00045B0A" w:rsidRDefault="00045B0A" w:rsidP="000C4442">
            <w:pPr>
              <w:rPr>
                <w:rFonts w:cstheme="minorHAnsi"/>
                <w:b/>
              </w:rPr>
            </w:pPr>
            <w:r w:rsidRPr="00045B0A">
              <w:rPr>
                <w:rFonts w:cstheme="minorHAnsi"/>
                <w:b/>
              </w:rPr>
              <w:t>EUL ID</w:t>
            </w:r>
          </w:p>
        </w:tc>
        <w:tc>
          <w:tcPr>
            <w:tcW w:w="1420" w:type="pct"/>
            <w:shd w:val="clear" w:color="auto" w:fill="D9D9D9" w:themeFill="background1" w:themeFillShade="D9"/>
          </w:tcPr>
          <w:p w:rsidR="00045B0A" w:rsidRPr="00045B0A" w:rsidRDefault="00045B0A" w:rsidP="000C4442">
            <w:pPr>
              <w:rPr>
                <w:rFonts w:cstheme="minorHAnsi"/>
                <w:b/>
              </w:rPr>
            </w:pPr>
            <w:r w:rsidRPr="00045B0A">
              <w:rPr>
                <w:rFonts w:cstheme="minorHAnsi"/>
                <w:b/>
              </w:rPr>
              <w:t>Description</w:t>
            </w:r>
          </w:p>
        </w:tc>
        <w:tc>
          <w:tcPr>
            <w:tcW w:w="458" w:type="pct"/>
            <w:shd w:val="clear" w:color="auto" w:fill="D9D9D9" w:themeFill="background1" w:themeFillShade="D9"/>
          </w:tcPr>
          <w:p w:rsidR="00045B0A" w:rsidRPr="00045B0A" w:rsidRDefault="00045B0A" w:rsidP="000C4442">
            <w:pPr>
              <w:rPr>
                <w:rFonts w:cstheme="minorHAnsi"/>
                <w:b/>
              </w:rPr>
            </w:pPr>
            <w:r w:rsidRPr="00045B0A">
              <w:rPr>
                <w:rFonts w:cstheme="minorHAnsi"/>
                <w:b/>
              </w:rPr>
              <w:t>Sector</w:t>
            </w:r>
          </w:p>
        </w:tc>
        <w:tc>
          <w:tcPr>
            <w:tcW w:w="757" w:type="pct"/>
            <w:shd w:val="clear" w:color="auto" w:fill="D9D9D9" w:themeFill="background1" w:themeFillShade="D9"/>
          </w:tcPr>
          <w:p w:rsidR="00045B0A" w:rsidRPr="00045B0A" w:rsidRDefault="00045B0A" w:rsidP="000C4442">
            <w:pPr>
              <w:rPr>
                <w:rFonts w:cstheme="minorHAnsi"/>
                <w:b/>
              </w:rPr>
            </w:pPr>
            <w:proofErr w:type="spellStart"/>
            <w:r w:rsidRPr="00045B0A">
              <w:rPr>
                <w:rFonts w:cstheme="minorHAnsi"/>
                <w:b/>
              </w:rPr>
              <w:t>UseCategory</w:t>
            </w:r>
            <w:proofErr w:type="spellEnd"/>
          </w:p>
        </w:tc>
        <w:tc>
          <w:tcPr>
            <w:tcW w:w="797" w:type="pct"/>
            <w:shd w:val="clear" w:color="auto" w:fill="D9D9D9" w:themeFill="background1" w:themeFillShade="D9"/>
          </w:tcPr>
          <w:p w:rsidR="00045B0A" w:rsidRPr="00045B0A" w:rsidRDefault="00045B0A" w:rsidP="000C4442">
            <w:pPr>
              <w:rPr>
                <w:rFonts w:cstheme="minorHAnsi"/>
                <w:b/>
              </w:rPr>
            </w:pPr>
            <w:r w:rsidRPr="00045B0A">
              <w:rPr>
                <w:rFonts w:cstheme="minorHAnsi"/>
                <w:b/>
              </w:rPr>
              <w:t>EUL (Years)</w:t>
            </w:r>
          </w:p>
        </w:tc>
        <w:tc>
          <w:tcPr>
            <w:tcW w:w="761" w:type="pct"/>
            <w:shd w:val="clear" w:color="auto" w:fill="D9D9D9" w:themeFill="background1" w:themeFillShade="D9"/>
          </w:tcPr>
          <w:p w:rsidR="00045B0A" w:rsidRPr="00045B0A" w:rsidRDefault="00045B0A" w:rsidP="000C4442">
            <w:pPr>
              <w:rPr>
                <w:rFonts w:cstheme="minorHAnsi"/>
                <w:b/>
              </w:rPr>
            </w:pPr>
            <w:r w:rsidRPr="00045B0A">
              <w:rPr>
                <w:rFonts w:cstheme="minorHAnsi"/>
                <w:b/>
              </w:rPr>
              <w:t>RUL (Years)</w:t>
            </w:r>
          </w:p>
        </w:tc>
      </w:tr>
      <w:tr w:rsidR="00045B0A" w:rsidRPr="00045B0A" w:rsidTr="00A70B68">
        <w:trPr>
          <w:trHeight w:val="243"/>
        </w:trPr>
        <w:tc>
          <w:tcPr>
            <w:tcW w:w="808" w:type="pct"/>
          </w:tcPr>
          <w:p w:rsidR="00045B0A" w:rsidRPr="00045B0A" w:rsidRDefault="00045B0A" w:rsidP="000C4442">
            <w:proofErr w:type="spellStart"/>
            <w:r w:rsidRPr="00045B0A">
              <w:t>Agr-VSDWellPmp</w:t>
            </w:r>
            <w:proofErr w:type="spellEnd"/>
          </w:p>
        </w:tc>
        <w:tc>
          <w:tcPr>
            <w:tcW w:w="1420" w:type="pct"/>
          </w:tcPr>
          <w:p w:rsidR="00045B0A" w:rsidRPr="00045B0A" w:rsidRDefault="00045B0A" w:rsidP="000C4442">
            <w:r>
              <w:t>Well Pump Variable Speed Drive</w:t>
            </w:r>
          </w:p>
        </w:tc>
        <w:tc>
          <w:tcPr>
            <w:tcW w:w="458" w:type="pct"/>
          </w:tcPr>
          <w:p w:rsidR="00045B0A" w:rsidRPr="00045B0A" w:rsidRDefault="00045B0A" w:rsidP="000C4442">
            <w:r>
              <w:t>Ag</w:t>
            </w:r>
          </w:p>
        </w:tc>
        <w:tc>
          <w:tcPr>
            <w:tcW w:w="757" w:type="pct"/>
          </w:tcPr>
          <w:p w:rsidR="00045B0A" w:rsidRPr="00045B0A" w:rsidRDefault="00A70B68" w:rsidP="000C4442">
            <w:r>
              <w:t>Irrigate</w:t>
            </w:r>
          </w:p>
        </w:tc>
        <w:tc>
          <w:tcPr>
            <w:tcW w:w="797" w:type="pct"/>
          </w:tcPr>
          <w:p w:rsidR="00045B0A" w:rsidRPr="00045B0A" w:rsidRDefault="00A70B68" w:rsidP="000C4442">
            <w:r>
              <w:t>10</w:t>
            </w:r>
          </w:p>
        </w:tc>
        <w:tc>
          <w:tcPr>
            <w:tcW w:w="761" w:type="pct"/>
          </w:tcPr>
          <w:p w:rsidR="00045B0A" w:rsidRPr="00045B0A" w:rsidRDefault="00A70B68" w:rsidP="000C4442">
            <w:r>
              <w:t>3.3</w:t>
            </w:r>
          </w:p>
        </w:tc>
      </w:tr>
    </w:tbl>
    <w:p w:rsidR="00AA6DDA" w:rsidRDefault="00AA6DDA" w:rsidP="00E35EAA"/>
    <w:p w:rsidR="00C45BFA" w:rsidRPr="00AB0935" w:rsidRDefault="00A70B68" w:rsidP="00A70B68">
      <w:pPr>
        <w:pStyle w:val="NoSpacing"/>
        <w:rPr>
          <w:rFonts w:ascii="Arial" w:hAnsi="Arial" w:cs="Arial"/>
          <w:sz w:val="20"/>
        </w:rPr>
      </w:pPr>
      <w:r w:rsidRPr="00AB0935">
        <w:rPr>
          <w:rFonts w:ascii="Arial" w:hAnsi="Arial" w:cs="Arial"/>
          <w:sz w:val="20"/>
        </w:rPr>
        <w:t>The NTG value was obtained using the DEER READI tool. The relevant NTG value for the measures in this work paper is in the table below:</w:t>
      </w:r>
    </w:p>
    <w:p w:rsidR="00A70B68" w:rsidRDefault="00A70B68" w:rsidP="00A70B68">
      <w:pPr>
        <w:pStyle w:val="NoSpacing"/>
      </w:pPr>
    </w:p>
    <w:p w:rsidR="00A70B68" w:rsidRDefault="00A70B68" w:rsidP="00A70B68">
      <w:pPr>
        <w:pStyle w:val="Caption"/>
        <w:keepNext/>
        <w:jc w:val="center"/>
      </w:pPr>
      <w:r>
        <w:t xml:space="preserve">Table </w:t>
      </w:r>
      <w:fldSimple w:instr=" SEQ Table \* ARABIC ">
        <w:r w:rsidR="00A1737C">
          <w:rPr>
            <w:noProof/>
          </w:rPr>
          <w:t>6</w:t>
        </w:r>
      </w:fldSimple>
      <w:r>
        <w:t xml:space="preserve"> Net-to-Gross Ratio</w:t>
      </w:r>
    </w:p>
    <w:tbl>
      <w:tblPr>
        <w:tblStyle w:val="TableGrid1"/>
        <w:tblW w:w="5000" w:type="pct"/>
        <w:tblLayout w:type="fixed"/>
        <w:tblLook w:val="01E0" w:firstRow="1" w:lastRow="1" w:firstColumn="1" w:lastColumn="1" w:noHBand="0" w:noVBand="0"/>
      </w:tblPr>
      <w:tblGrid>
        <w:gridCol w:w="1289"/>
        <w:gridCol w:w="3859"/>
        <w:gridCol w:w="839"/>
        <w:gridCol w:w="1231"/>
        <w:gridCol w:w="1534"/>
        <w:gridCol w:w="824"/>
      </w:tblGrid>
      <w:tr w:rsidR="00A70B68" w:rsidRPr="00AB0935" w:rsidTr="00AB0935">
        <w:tc>
          <w:tcPr>
            <w:tcW w:w="673" w:type="pct"/>
            <w:shd w:val="clear" w:color="auto" w:fill="D9D9D9" w:themeFill="background1" w:themeFillShade="D9"/>
          </w:tcPr>
          <w:p w:rsidR="00A70B68" w:rsidRPr="00AB0935" w:rsidRDefault="00A70B68" w:rsidP="000C4442">
            <w:pPr>
              <w:rPr>
                <w:rFonts w:cstheme="minorHAnsi"/>
                <w:b/>
              </w:rPr>
            </w:pPr>
            <w:r w:rsidRPr="00AB0935">
              <w:rPr>
                <w:rFonts w:cstheme="minorHAnsi"/>
                <w:b/>
              </w:rPr>
              <w:t>NTGR ID</w:t>
            </w:r>
          </w:p>
        </w:tc>
        <w:tc>
          <w:tcPr>
            <w:tcW w:w="2015" w:type="pct"/>
            <w:shd w:val="clear" w:color="auto" w:fill="D9D9D9" w:themeFill="background1" w:themeFillShade="D9"/>
          </w:tcPr>
          <w:p w:rsidR="00A70B68" w:rsidRPr="00AB0935" w:rsidRDefault="00A70B68" w:rsidP="000C4442">
            <w:pPr>
              <w:rPr>
                <w:rFonts w:cstheme="minorHAnsi"/>
                <w:b/>
              </w:rPr>
            </w:pPr>
            <w:r w:rsidRPr="00AB0935">
              <w:rPr>
                <w:rFonts w:cstheme="minorHAnsi"/>
                <w:b/>
              </w:rPr>
              <w:t>Description</w:t>
            </w:r>
          </w:p>
        </w:tc>
        <w:tc>
          <w:tcPr>
            <w:tcW w:w="438" w:type="pct"/>
            <w:shd w:val="clear" w:color="auto" w:fill="D9D9D9" w:themeFill="background1" w:themeFillShade="D9"/>
          </w:tcPr>
          <w:p w:rsidR="00A70B68" w:rsidRPr="00AB0935" w:rsidRDefault="00A70B68" w:rsidP="000C4442">
            <w:pPr>
              <w:rPr>
                <w:rFonts w:cstheme="minorHAnsi"/>
                <w:b/>
              </w:rPr>
            </w:pPr>
            <w:r w:rsidRPr="00AB0935">
              <w:rPr>
                <w:rFonts w:cstheme="minorHAnsi"/>
                <w:b/>
              </w:rPr>
              <w:t>Sector</w:t>
            </w:r>
          </w:p>
        </w:tc>
        <w:tc>
          <w:tcPr>
            <w:tcW w:w="643" w:type="pct"/>
            <w:shd w:val="clear" w:color="auto" w:fill="D9D9D9" w:themeFill="background1" w:themeFillShade="D9"/>
          </w:tcPr>
          <w:p w:rsidR="00A70B68" w:rsidRPr="00AB0935" w:rsidRDefault="00A70B68" w:rsidP="000C4442">
            <w:pPr>
              <w:rPr>
                <w:rFonts w:cstheme="minorHAnsi"/>
                <w:b/>
              </w:rPr>
            </w:pPr>
            <w:proofErr w:type="spellStart"/>
            <w:r w:rsidRPr="00AB0935">
              <w:rPr>
                <w:rFonts w:cstheme="minorHAnsi"/>
                <w:b/>
              </w:rPr>
              <w:t>BldgType</w:t>
            </w:r>
            <w:proofErr w:type="spellEnd"/>
          </w:p>
        </w:tc>
        <w:tc>
          <w:tcPr>
            <w:tcW w:w="801" w:type="pct"/>
            <w:shd w:val="clear" w:color="auto" w:fill="D9D9D9" w:themeFill="background1" w:themeFillShade="D9"/>
          </w:tcPr>
          <w:p w:rsidR="00A70B68" w:rsidRPr="00AB0935" w:rsidRDefault="00A70B68" w:rsidP="000C4442">
            <w:pPr>
              <w:rPr>
                <w:rFonts w:cstheme="minorHAnsi"/>
                <w:b/>
              </w:rPr>
            </w:pPr>
            <w:r w:rsidRPr="00AB0935">
              <w:rPr>
                <w:rFonts w:cstheme="minorHAnsi"/>
                <w:b/>
              </w:rPr>
              <w:t>Measure Delivery</w:t>
            </w:r>
          </w:p>
        </w:tc>
        <w:tc>
          <w:tcPr>
            <w:tcW w:w="430" w:type="pct"/>
            <w:shd w:val="clear" w:color="auto" w:fill="D9D9D9" w:themeFill="background1" w:themeFillShade="D9"/>
          </w:tcPr>
          <w:p w:rsidR="00A70B68" w:rsidRPr="00AB0935" w:rsidRDefault="00A70B68" w:rsidP="000C4442">
            <w:pPr>
              <w:rPr>
                <w:rFonts w:cstheme="minorHAnsi"/>
                <w:b/>
              </w:rPr>
            </w:pPr>
            <w:r w:rsidRPr="00AB0935">
              <w:rPr>
                <w:rFonts w:cstheme="minorHAnsi"/>
                <w:b/>
              </w:rPr>
              <w:t>NTGR</w:t>
            </w:r>
          </w:p>
        </w:tc>
      </w:tr>
      <w:tr w:rsidR="00A70B68" w:rsidRPr="00AB0935" w:rsidTr="00AB0935">
        <w:tc>
          <w:tcPr>
            <w:tcW w:w="673" w:type="pct"/>
          </w:tcPr>
          <w:p w:rsidR="00A70B68" w:rsidRPr="00AB0935" w:rsidRDefault="00A70B68" w:rsidP="000C4442">
            <w:proofErr w:type="spellStart"/>
            <w:r w:rsidRPr="00AB0935">
              <w:t>Agric</w:t>
            </w:r>
            <w:proofErr w:type="spellEnd"/>
            <w:r w:rsidRPr="00AB0935">
              <w:t>-Default&gt;2</w:t>
            </w:r>
          </w:p>
        </w:tc>
        <w:tc>
          <w:tcPr>
            <w:tcW w:w="2015" w:type="pct"/>
          </w:tcPr>
          <w:p w:rsidR="00A70B68" w:rsidRPr="00AB0935" w:rsidRDefault="00A70B68" w:rsidP="000C4442">
            <w:r w:rsidRPr="00AB0935">
              <w:t>All other EEMs with no evaluated NTGR; existing EEM in programs with same delivery mechanism for more than 2 years</w:t>
            </w:r>
          </w:p>
        </w:tc>
        <w:tc>
          <w:tcPr>
            <w:tcW w:w="438" w:type="pct"/>
          </w:tcPr>
          <w:p w:rsidR="00A70B68" w:rsidRPr="00AB0935" w:rsidRDefault="00A70B68" w:rsidP="000C4442">
            <w:r w:rsidRPr="00AB0935">
              <w:t>Ag</w:t>
            </w:r>
          </w:p>
        </w:tc>
        <w:tc>
          <w:tcPr>
            <w:tcW w:w="643" w:type="pct"/>
          </w:tcPr>
          <w:p w:rsidR="00A70B68" w:rsidRPr="00AB0935" w:rsidRDefault="00A70B68" w:rsidP="000C4442">
            <w:r w:rsidRPr="00AB0935">
              <w:t>Any</w:t>
            </w:r>
          </w:p>
        </w:tc>
        <w:tc>
          <w:tcPr>
            <w:tcW w:w="801" w:type="pct"/>
          </w:tcPr>
          <w:p w:rsidR="00A70B68" w:rsidRPr="00AB0935" w:rsidRDefault="00A70B68" w:rsidP="000C4442">
            <w:r w:rsidRPr="00AB0935">
              <w:t>Any</w:t>
            </w:r>
          </w:p>
        </w:tc>
        <w:tc>
          <w:tcPr>
            <w:tcW w:w="430" w:type="pct"/>
          </w:tcPr>
          <w:p w:rsidR="00A70B68" w:rsidRPr="00AB0935" w:rsidRDefault="00A70B68" w:rsidP="000C4442">
            <w:r w:rsidRPr="00AB0935">
              <w:t>0.6</w:t>
            </w:r>
          </w:p>
        </w:tc>
      </w:tr>
    </w:tbl>
    <w:p w:rsidR="00C45BFA" w:rsidRDefault="00C45BFA" w:rsidP="00E35EAA"/>
    <w:p w:rsidR="005C30B9" w:rsidRPr="00314FE6" w:rsidRDefault="005C30B9" w:rsidP="00B16127">
      <w:pPr>
        <w:pStyle w:val="Heading2"/>
      </w:pPr>
      <w:bookmarkStart w:id="18" w:name="_Toc447098725"/>
      <w:r w:rsidRPr="00314FE6">
        <w:t>1.</w:t>
      </w:r>
      <w:r w:rsidR="009219E4">
        <w:t>4.2</w:t>
      </w:r>
      <w:r w:rsidR="00A118F3">
        <w:t xml:space="preserve"> </w:t>
      </w:r>
      <w:r w:rsidR="00244D6C" w:rsidRPr="001248A3">
        <w:t xml:space="preserve">Codes &amp; Standards Requirements </w:t>
      </w:r>
      <w:r w:rsidR="00244D6C">
        <w:t>Base Case and Measure Information</w:t>
      </w:r>
      <w:bookmarkEnd w:id="18"/>
    </w:p>
    <w:p w:rsidR="005C30B9" w:rsidRDefault="005C30B9" w:rsidP="00E35EAA"/>
    <w:p w:rsidR="00244D6C" w:rsidRPr="006F085E" w:rsidRDefault="00244D6C" w:rsidP="00E35EAA">
      <w:pPr>
        <w:rPr>
          <w:i/>
        </w:rPr>
      </w:pPr>
      <w:r w:rsidRPr="006F085E">
        <w:rPr>
          <w:b/>
          <w:i/>
        </w:rPr>
        <w:t>Title 20:</w:t>
      </w:r>
      <w:r w:rsidRPr="006F085E">
        <w:t xml:space="preserve"> These measures do not fall under Title 20 of the California Energy Regulations. </w:t>
      </w:r>
    </w:p>
    <w:p w:rsidR="00244D6C" w:rsidRPr="006F085E" w:rsidRDefault="00244D6C" w:rsidP="00E35EAA">
      <w:pPr>
        <w:rPr>
          <w:i/>
        </w:rPr>
      </w:pPr>
      <w:r w:rsidRPr="006F085E">
        <w:rPr>
          <w:b/>
          <w:i/>
        </w:rPr>
        <w:t>Title 24:</w:t>
      </w:r>
      <w:r w:rsidRPr="006F085E">
        <w:t xml:space="preserve"> These measures do not fall under Title 24 of the California Energy Regulations. </w:t>
      </w:r>
    </w:p>
    <w:p w:rsidR="00244D6C" w:rsidRPr="006F085E" w:rsidRDefault="00244D6C" w:rsidP="00E35EAA">
      <w:r w:rsidRPr="006F085E">
        <w:rPr>
          <w:b/>
          <w:i/>
        </w:rPr>
        <w:t>Federal Standards:</w:t>
      </w:r>
      <w:r w:rsidRPr="006F085E">
        <w:t xml:space="preserve"> These measures do not fall under Federal DOE or EPA Energy Regulations. </w:t>
      </w:r>
    </w:p>
    <w:p w:rsidR="00244D6C" w:rsidRDefault="00244D6C" w:rsidP="00E35EAA"/>
    <w:p w:rsidR="005C30B9" w:rsidRPr="00314FE6" w:rsidRDefault="005C30B9" w:rsidP="00B16127">
      <w:pPr>
        <w:pStyle w:val="Heading2"/>
      </w:pPr>
      <w:bookmarkStart w:id="19" w:name="_Toc447098726"/>
      <w:r w:rsidRPr="00314FE6">
        <w:t>1.</w:t>
      </w:r>
      <w:r w:rsidR="009219E4">
        <w:t>4.3</w:t>
      </w:r>
      <w:r w:rsidR="00A118F3">
        <w:t xml:space="preserve"> </w:t>
      </w:r>
      <w:r w:rsidR="00C45BFA" w:rsidRPr="001248A3">
        <w:t>EM&amp;V</w:t>
      </w:r>
      <w:r w:rsidR="00C45BFA">
        <w:t>, Market Potential,</w:t>
      </w:r>
      <w:r w:rsidR="00A118F3">
        <w:t xml:space="preserve"> </w:t>
      </w:r>
      <w:r w:rsidR="00C45BFA">
        <w:t xml:space="preserve">and Other </w:t>
      </w:r>
      <w:r w:rsidR="00C45BFA" w:rsidRPr="001248A3">
        <w:t>Studies</w:t>
      </w:r>
      <w:r w:rsidR="00C45BFA">
        <w:t xml:space="preserve"> – Base Case and Measure Case Information</w:t>
      </w:r>
      <w:bookmarkEnd w:id="19"/>
    </w:p>
    <w:p w:rsidR="00C45BFA" w:rsidRDefault="00C45BFA" w:rsidP="00E35EAA"/>
    <w:p w:rsidR="00A118F3" w:rsidRDefault="00A118F3" w:rsidP="00A118F3">
      <w:r>
        <w:t>The Agricultural Water Energy Efficiency (CEC-500-200-049) report</w:t>
      </w:r>
      <w:r w:rsidR="00AB0935" w:rsidRPr="00AB0935">
        <w:rPr>
          <w:vertAlign w:val="superscript"/>
        </w:rPr>
        <w:t>2</w:t>
      </w:r>
      <w:r>
        <w:t>, prepared by Irrigation Training and Research Center for the California Energy Commission as a part of the Public Interest Energy Research (PIER) Program addresses the industry standard practice for agricultural irrigation pumps.  The report included an irrigation district energy survey that surveyed whether variable frequency drives were installed on agricultural irrigation pumps.  Basic pump data was gathered from 30 irrigation districts which included:</w:t>
      </w:r>
    </w:p>
    <w:p w:rsidR="00A118F3" w:rsidRDefault="00A118F3" w:rsidP="00A118F3">
      <w:pPr>
        <w:numPr>
          <w:ilvl w:val="0"/>
          <w:numId w:val="43"/>
        </w:numPr>
      </w:pPr>
      <w:r>
        <w:t xml:space="preserve">Type of pump </w:t>
      </w:r>
    </w:p>
    <w:p w:rsidR="00A118F3" w:rsidRDefault="00A118F3" w:rsidP="00A118F3">
      <w:pPr>
        <w:numPr>
          <w:ilvl w:val="1"/>
          <w:numId w:val="43"/>
        </w:numPr>
      </w:pPr>
      <w:r>
        <w:t>deep well pumps</w:t>
      </w:r>
    </w:p>
    <w:p w:rsidR="00A118F3" w:rsidRDefault="00A118F3" w:rsidP="00A118F3">
      <w:pPr>
        <w:numPr>
          <w:ilvl w:val="1"/>
          <w:numId w:val="43"/>
        </w:numPr>
      </w:pPr>
      <w:r>
        <w:t>surface supply pumps (includes lift and booster pumps)</w:t>
      </w:r>
    </w:p>
    <w:p w:rsidR="00A118F3" w:rsidRDefault="00A118F3" w:rsidP="00A118F3">
      <w:pPr>
        <w:numPr>
          <w:ilvl w:val="1"/>
          <w:numId w:val="43"/>
        </w:numPr>
      </w:pPr>
      <w:r>
        <w:t>surface drain pumps</w:t>
      </w:r>
    </w:p>
    <w:p w:rsidR="00A118F3" w:rsidRDefault="00A118F3" w:rsidP="00A118F3">
      <w:pPr>
        <w:numPr>
          <w:ilvl w:val="0"/>
          <w:numId w:val="43"/>
        </w:numPr>
      </w:pPr>
      <w:r>
        <w:t>Pump horsepower</w:t>
      </w:r>
    </w:p>
    <w:p w:rsidR="00A118F3" w:rsidRDefault="00A118F3" w:rsidP="00A118F3">
      <w:pPr>
        <w:numPr>
          <w:ilvl w:val="0"/>
          <w:numId w:val="43"/>
        </w:numPr>
      </w:pPr>
      <w:r>
        <w:t>Pump annual electrical energy consumption</w:t>
      </w:r>
    </w:p>
    <w:p w:rsidR="00A118F3" w:rsidRDefault="00A118F3" w:rsidP="00A118F3">
      <w:pPr>
        <w:numPr>
          <w:ilvl w:val="0"/>
          <w:numId w:val="43"/>
        </w:numPr>
      </w:pPr>
      <w:r>
        <w:t>Whether pump efficiencies were checked annually</w:t>
      </w:r>
    </w:p>
    <w:p w:rsidR="00A118F3" w:rsidRDefault="00A118F3" w:rsidP="00A118F3">
      <w:pPr>
        <w:numPr>
          <w:ilvl w:val="0"/>
          <w:numId w:val="43"/>
        </w:numPr>
      </w:pPr>
      <w:r>
        <w:t>Average pumping efficiency</w:t>
      </w:r>
    </w:p>
    <w:p w:rsidR="00A118F3" w:rsidRDefault="00A118F3" w:rsidP="00A118F3">
      <w:pPr>
        <w:numPr>
          <w:ilvl w:val="0"/>
          <w:numId w:val="43"/>
        </w:numPr>
      </w:pPr>
      <w:r>
        <w:t>Whether variable frequency drives were installed on the pumps</w:t>
      </w:r>
    </w:p>
    <w:p w:rsidR="00A118F3" w:rsidRDefault="00A118F3" w:rsidP="00A118F3"/>
    <w:p w:rsidR="00A118F3" w:rsidRDefault="00A118F3" w:rsidP="00A118F3">
      <w:r>
        <w:t>A total of 2,045 pumps were reported in the survey and of these pumps only 60 pumps (less that 3% of the total number of pumps) had VFDs incorporated into their pumping operations.  The study shows that VFDs are not commonly used in the industry and constant speed pumps are industrial standard practice.  This is also confirmed in LBNL’s study that VFDs are not common in agricultural irrigation</w:t>
      </w:r>
      <w:r w:rsidR="00AB0935">
        <w:rPr>
          <w:rStyle w:val="EndnoteReference"/>
        </w:rPr>
        <w:t>3</w:t>
      </w:r>
      <w:r>
        <w:t>.</w:t>
      </w:r>
      <w:r w:rsidR="001A2970">
        <w:t xml:space="preserve">  It has been assumed that for New Construction projects, new pumps would be equipped with soft starters to avoid sudden spikes when the pump turns on. </w:t>
      </w:r>
      <w:r>
        <w:t xml:space="preserve">    </w:t>
      </w:r>
    </w:p>
    <w:p w:rsidR="00A118F3" w:rsidRDefault="00A118F3" w:rsidP="00A118F3">
      <w:r>
        <w:t xml:space="preserve">   </w:t>
      </w:r>
    </w:p>
    <w:p w:rsidR="00A118F3" w:rsidRPr="009B3EDD" w:rsidRDefault="00A118F3" w:rsidP="00A118F3">
      <w:r w:rsidRPr="009B3EDD">
        <w:t xml:space="preserve">There </w:t>
      </w:r>
      <w:r w:rsidRPr="009B3EDD" w:rsidDel="00783106">
        <w:t>we</w:t>
      </w:r>
      <w:r w:rsidRPr="009B3EDD">
        <w:t xml:space="preserve">re no EM&amp;V studies identified that addressed </w:t>
      </w:r>
      <w:r>
        <w:t xml:space="preserve">the potential energy savings associated with installing </w:t>
      </w:r>
      <w:r w:rsidRPr="009B3EDD">
        <w:t xml:space="preserve">variable frequency drives on agricultural pumps.  </w:t>
      </w:r>
    </w:p>
    <w:p w:rsidR="00C45BFA" w:rsidRDefault="00C45BFA" w:rsidP="00E35EAA"/>
    <w:p w:rsidR="00C45BFA" w:rsidRPr="007305B4" w:rsidRDefault="005C30B9" w:rsidP="00B16127">
      <w:pPr>
        <w:pStyle w:val="Heading2"/>
      </w:pPr>
      <w:bookmarkStart w:id="20" w:name="_Toc447098727"/>
      <w:r w:rsidRPr="007305B4">
        <w:t>1.4.</w:t>
      </w:r>
      <w:r w:rsidR="009219E4" w:rsidRPr="007305B4">
        <w:t>4</w:t>
      </w:r>
      <w:r w:rsidR="00A118F3" w:rsidRPr="007305B4">
        <w:t xml:space="preserve"> </w:t>
      </w:r>
      <w:r w:rsidR="00C45BFA" w:rsidRPr="007305B4">
        <w:t>Assumptions and Calculations from other sources</w:t>
      </w:r>
      <w:r w:rsidR="00DF473A" w:rsidRPr="007305B4">
        <w:t xml:space="preserve"> – </w:t>
      </w:r>
      <w:r w:rsidR="00C45BFA" w:rsidRPr="007305B4">
        <w:t>Base and Measure Cases</w:t>
      </w:r>
      <w:bookmarkEnd w:id="20"/>
    </w:p>
    <w:p w:rsidR="00EE5287" w:rsidRDefault="00EE5287" w:rsidP="00B16127"/>
    <w:p w:rsidR="00865725" w:rsidRPr="007305B4" w:rsidRDefault="00865725" w:rsidP="00B16127">
      <w:r>
        <w:t xml:space="preserve">This work paper used no other sources. </w:t>
      </w:r>
    </w:p>
    <w:p w:rsidR="003B44BB" w:rsidRPr="005357FE" w:rsidRDefault="00CF3FF0" w:rsidP="00E35EAA">
      <w:pPr>
        <w:pStyle w:val="Heading1"/>
      </w:pPr>
      <w:bookmarkStart w:id="21" w:name="_Toc447098729"/>
      <w:proofErr w:type="gramStart"/>
      <w:r w:rsidRPr="00314FE6">
        <w:t xml:space="preserve">Section </w:t>
      </w:r>
      <w:r w:rsidR="00C069A2" w:rsidRPr="00314FE6">
        <w:t>2</w:t>
      </w:r>
      <w:r w:rsidR="003129E8" w:rsidRPr="00314FE6">
        <w:t>.</w:t>
      </w:r>
      <w:proofErr w:type="gramEnd"/>
      <w:r w:rsidR="00C069A2" w:rsidRPr="00314FE6">
        <w:t xml:space="preserve"> Calculation Methods</w:t>
      </w:r>
      <w:bookmarkEnd w:id="21"/>
    </w:p>
    <w:p w:rsidR="00C069A2" w:rsidRPr="00314FE6" w:rsidRDefault="00C069A2" w:rsidP="00B16127">
      <w:pPr>
        <w:pStyle w:val="Heading2"/>
      </w:pPr>
      <w:bookmarkStart w:id="22" w:name="_Toc447098730"/>
      <w:r w:rsidRPr="00B16127">
        <w:t xml:space="preserve">2.1 </w:t>
      </w:r>
      <w:r w:rsidR="007878B9" w:rsidRPr="00B16127">
        <w:t xml:space="preserve">Electric </w:t>
      </w:r>
      <w:r w:rsidRPr="00B16127">
        <w:t>Energy Savings Estimation Metho</w:t>
      </w:r>
      <w:r w:rsidRPr="00314FE6">
        <w:t>dologies</w:t>
      </w:r>
      <w:bookmarkEnd w:id="22"/>
    </w:p>
    <w:p w:rsidR="005357FE" w:rsidRDefault="005357FE" w:rsidP="00E35EAA"/>
    <w:p w:rsidR="00135F26" w:rsidRDefault="00135F26" w:rsidP="00135F26">
      <w:r w:rsidRPr="00041A5F">
        <w:t>Pacific Gas and Electric (PG&amp;E) Company’s database was used to obtain records for projects where variable frequency drives were installed on agricultural pumps to determine the range in energy savings, demand savings, implementation cost and incentives.</w:t>
      </w:r>
      <w:r>
        <w:t xml:space="preserve">  PG&amp;E provided the following projects for data in regards to installation of variable frequency drives on agricultural irrigation pumps:</w:t>
      </w:r>
    </w:p>
    <w:p w:rsidR="00135F26" w:rsidRPr="00F64A46" w:rsidRDefault="00135F26" w:rsidP="00135F26">
      <w:pPr>
        <w:numPr>
          <w:ilvl w:val="0"/>
          <w:numId w:val="46"/>
        </w:numPr>
      </w:pPr>
      <w:r w:rsidRPr="00F64A46">
        <w:t>81 Non-Residential Retrofit (NRR) projects</w:t>
      </w:r>
    </w:p>
    <w:p w:rsidR="00135F26" w:rsidRPr="00F64A46" w:rsidRDefault="00135F26" w:rsidP="00135F26">
      <w:pPr>
        <w:numPr>
          <w:ilvl w:val="0"/>
          <w:numId w:val="46"/>
        </w:numPr>
      </w:pPr>
      <w:r w:rsidRPr="00F64A46">
        <w:t>300+ Customized New Construction (CNC) projects</w:t>
      </w:r>
    </w:p>
    <w:p w:rsidR="00135F26" w:rsidRDefault="00135F26" w:rsidP="00135F26"/>
    <w:p w:rsidR="00135F26" w:rsidRDefault="00135F26" w:rsidP="00135F26">
      <w:r>
        <w:t>Data for the above projects were reviewed to determine which projects had sufficient data for the purpose of estimating the energy savings for this work</w:t>
      </w:r>
      <w:r w:rsidR="00BE3658">
        <w:t xml:space="preserve"> </w:t>
      </w:r>
      <w:r>
        <w:t>paper.  In reviewing the above projects, only projects that with sufficient data using similar calculation methodologies as outlined in this work</w:t>
      </w:r>
      <w:r w:rsidR="00BE3658">
        <w:t xml:space="preserve"> </w:t>
      </w:r>
      <w:r>
        <w:t>paper in agreement with basic engineering methodology for such applications were included in the overall analyses.  Projects which included the necessary information for analyses was compiled into a spreadsheet and used for analyses.  After a thorough review of the NRR and CNC projects, the following number of pump data was used in the analyses for this work</w:t>
      </w:r>
      <w:r w:rsidR="00BE3658">
        <w:t xml:space="preserve"> </w:t>
      </w:r>
      <w:r>
        <w:t xml:space="preserve">paper:   </w:t>
      </w:r>
    </w:p>
    <w:p w:rsidR="00135F26" w:rsidRPr="00D24319" w:rsidRDefault="00135F26" w:rsidP="00135F26">
      <w:pPr>
        <w:numPr>
          <w:ilvl w:val="0"/>
          <w:numId w:val="44"/>
        </w:numPr>
      </w:pPr>
      <w:r w:rsidRPr="00D24319">
        <w:t>Well Pumps:</w:t>
      </w:r>
      <w:r w:rsidRPr="00D24319">
        <w:tab/>
      </w:r>
      <w:r w:rsidRPr="00D24319">
        <w:tab/>
        <w:t>197 projects (combination of NRR and CNC projects)</w:t>
      </w:r>
    </w:p>
    <w:p w:rsidR="00135F26" w:rsidRPr="00CB7D56" w:rsidRDefault="00135F26" w:rsidP="00135F26">
      <w:pPr>
        <w:numPr>
          <w:ilvl w:val="0"/>
          <w:numId w:val="44"/>
        </w:numPr>
        <w:rPr>
          <w:i/>
          <w:sz w:val="22"/>
        </w:rPr>
      </w:pPr>
      <w:r w:rsidRPr="00D24319">
        <w:t>Booster Pumps:</w:t>
      </w:r>
      <w:r w:rsidRPr="00D24319">
        <w:tab/>
      </w:r>
      <w:r w:rsidRPr="00D24319">
        <w:tab/>
        <w:t>99 projects (combination of NRR and CNC projects)</w:t>
      </w:r>
    </w:p>
    <w:p w:rsidR="00135F26" w:rsidRPr="00041A5F" w:rsidRDefault="00135F26" w:rsidP="00135F26"/>
    <w:p w:rsidR="00135F26" w:rsidRPr="007925D5" w:rsidRDefault="00135F26" w:rsidP="00135F26">
      <w:r w:rsidRPr="007925D5">
        <w:t>The following variables were utilized to quantify the energy savings resulting from installation of VFDs on the t</w:t>
      </w:r>
      <w:r>
        <w:t>wo</w:t>
      </w:r>
      <w:r w:rsidRPr="007925D5">
        <w:t xml:space="preserve"> pump types above:</w:t>
      </w:r>
    </w:p>
    <w:p w:rsidR="00135F26" w:rsidRPr="00D24319" w:rsidRDefault="00135F26" w:rsidP="00135F26">
      <w:pPr>
        <w:numPr>
          <w:ilvl w:val="0"/>
          <w:numId w:val="45"/>
        </w:numPr>
      </w:pPr>
      <w:r w:rsidRPr="00D24319">
        <w:t>Pump Type</w:t>
      </w:r>
    </w:p>
    <w:p w:rsidR="00135F26" w:rsidRPr="00D24319" w:rsidRDefault="00135F26" w:rsidP="00135F26">
      <w:pPr>
        <w:numPr>
          <w:ilvl w:val="0"/>
          <w:numId w:val="45"/>
        </w:numPr>
      </w:pPr>
      <w:r w:rsidRPr="00D24319">
        <w:t>Number of Pumps and Pump Size (hp)</w:t>
      </w:r>
    </w:p>
    <w:p w:rsidR="00135F26" w:rsidRPr="00D24319" w:rsidRDefault="00135F26" w:rsidP="00135F26">
      <w:pPr>
        <w:numPr>
          <w:ilvl w:val="0"/>
          <w:numId w:val="45"/>
        </w:numPr>
      </w:pPr>
      <w:r w:rsidRPr="00D24319">
        <w:t>Annual Operating Hours</w:t>
      </w:r>
    </w:p>
    <w:p w:rsidR="00135F26" w:rsidRPr="00D24319" w:rsidRDefault="00135F26" w:rsidP="00135F26">
      <w:pPr>
        <w:numPr>
          <w:ilvl w:val="0"/>
          <w:numId w:val="45"/>
        </w:numPr>
      </w:pPr>
      <w:r w:rsidRPr="00D24319">
        <w:t>Flow and Pressure Profiles</w:t>
      </w:r>
    </w:p>
    <w:p w:rsidR="00135F26" w:rsidRPr="00EA6EFF" w:rsidRDefault="00135F26" w:rsidP="00135F26">
      <w:pPr>
        <w:numPr>
          <w:ilvl w:val="0"/>
          <w:numId w:val="45"/>
        </w:numPr>
        <w:rPr>
          <w:sz w:val="22"/>
        </w:rPr>
      </w:pPr>
      <w:r w:rsidRPr="00D24319">
        <w:t>Pump Efficiency (as presented in pumps’ performance curves)</w:t>
      </w:r>
    </w:p>
    <w:p w:rsidR="00135F26" w:rsidRDefault="00135F26" w:rsidP="00135F26"/>
    <w:p w:rsidR="00135F26" w:rsidRDefault="00135F26" w:rsidP="00135F26">
      <w:r>
        <w:t xml:space="preserve">The type of crop that the irrigation pumps serve was not available for the projects evaluated, only the annual operating hours.  With a huge variation in operating hours and fields that served more than one type of crop, data was originally separated to 2 categories: deciduous vs. non-deciduous.  After an evaluation of segregating the data into these two categories versus combining them together, it was found that the averages for combining both crop types together yielded a similar result as separating them.  As facilities may irrigate both crop types, it was determined that combining both crop types together for well pumps and for booster pumps would make it easier for the customer to apply for their rebate for this measure.  </w:t>
      </w:r>
    </w:p>
    <w:p w:rsidR="00135F26" w:rsidRDefault="00135F26" w:rsidP="00135F26"/>
    <w:p w:rsidR="00135F26" w:rsidRPr="002C6CD0" w:rsidRDefault="00135F26" w:rsidP="00135F26">
      <w:r w:rsidRPr="002C6CD0">
        <w:t xml:space="preserve">The following methodology was used to calculate the </w:t>
      </w:r>
      <w:r>
        <w:t xml:space="preserve">electrical </w:t>
      </w:r>
      <w:r w:rsidRPr="002C6CD0">
        <w:t>energy savings</w:t>
      </w:r>
      <w:r>
        <w:t xml:space="preserve"> (EES)</w:t>
      </w:r>
      <w:r w:rsidRPr="002C6CD0">
        <w:t xml:space="preserve"> due to installing a variable frequency drive on an agricultural irrigation pump:</w:t>
      </w:r>
    </w:p>
    <w:p w:rsidR="00135F26" w:rsidRPr="002C6CD0" w:rsidRDefault="00135F26" w:rsidP="00135F26"/>
    <w:p w:rsidR="00135F26" w:rsidRDefault="00135F26" w:rsidP="00135F26">
      <w:pPr>
        <w:tabs>
          <w:tab w:val="left" w:pos="900"/>
        </w:tabs>
        <w:ind w:firstLine="360"/>
      </w:pPr>
      <w:r>
        <w:t>EES</w:t>
      </w:r>
      <w:r>
        <w:tab/>
        <w:t>=</w:t>
      </w:r>
      <w:r>
        <w:tab/>
        <w:t>∑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rPr>
          <w:vertAlign w:val="subscript"/>
        </w:rPr>
        <w:t xml:space="preserve"> </w:t>
      </w:r>
      <w:r>
        <w:t>× EFF</w:t>
      </w:r>
      <w:r w:rsidRPr="00792FF3">
        <w:rPr>
          <w:vertAlign w:val="subscript"/>
        </w:rPr>
        <w:t>m</w:t>
      </w:r>
      <w:r>
        <w:t>) × C</w:t>
      </w:r>
      <w:r w:rsidRPr="00A93A45">
        <w:rPr>
          <w:vertAlign w:val="subscript"/>
        </w:rPr>
        <w:t>1</w:t>
      </w:r>
      <w:r>
        <w:t xml:space="preserve"> / C</w:t>
      </w:r>
      <w:r w:rsidRPr="00A93A45">
        <w:rPr>
          <w:vertAlign w:val="subscript"/>
        </w:rPr>
        <w:t>2</w:t>
      </w:r>
      <w:r>
        <w:t>]</w:t>
      </w:r>
      <w:r w:rsidRPr="00792FF3">
        <w:rPr>
          <w:vertAlign w:val="subscript"/>
        </w:rPr>
        <w:t>t</w:t>
      </w:r>
      <w:r>
        <w:rPr>
          <w:vertAlign w:val="subscript"/>
        </w:rPr>
        <w:t>hrottle</w:t>
      </w:r>
      <w:r>
        <w:t xml:space="preserve"> </w:t>
      </w:r>
    </w:p>
    <w:p w:rsidR="00135F26" w:rsidRDefault="00135F26" w:rsidP="00135F26">
      <w:pPr>
        <w:tabs>
          <w:tab w:val="left" w:pos="900"/>
        </w:tabs>
        <w:ind w:firstLine="360"/>
      </w:pPr>
      <w:r>
        <w:tab/>
      </w:r>
      <w:r>
        <w:tab/>
        <w:t>-  ∑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t xml:space="preserve"> × EFF</w:t>
      </w:r>
      <w:r>
        <w:rPr>
          <w:vertAlign w:val="subscript"/>
        </w:rPr>
        <w:t>vfd</w:t>
      </w:r>
      <w:r>
        <w:t xml:space="preserve"> × EFF</w:t>
      </w:r>
      <w:r w:rsidRPr="00792FF3">
        <w:rPr>
          <w:vertAlign w:val="subscript"/>
        </w:rPr>
        <w:t>m</w:t>
      </w:r>
      <w:r>
        <w:t>)</w:t>
      </w:r>
      <w:r w:rsidRPr="00A93A45">
        <w:t xml:space="preserve"> </w:t>
      </w:r>
      <w:r>
        <w:t>× C</w:t>
      </w:r>
      <w:r w:rsidRPr="00A93A45">
        <w:rPr>
          <w:vertAlign w:val="subscript"/>
        </w:rPr>
        <w:t>1</w:t>
      </w:r>
      <w:r>
        <w:t xml:space="preserve"> / C</w:t>
      </w:r>
      <w:r w:rsidRPr="00A93A45">
        <w:rPr>
          <w:vertAlign w:val="subscript"/>
        </w:rPr>
        <w:t>2</w:t>
      </w:r>
      <w:r>
        <w:t>]</w:t>
      </w:r>
      <w:r w:rsidRPr="00792FF3">
        <w:rPr>
          <w:vertAlign w:val="subscript"/>
        </w:rPr>
        <w:t>vfd</w:t>
      </w:r>
    </w:p>
    <w:p w:rsidR="00135F26" w:rsidRDefault="00135F26" w:rsidP="00135F26"/>
    <w:p w:rsidR="00135F26" w:rsidRDefault="00135F26" w:rsidP="00135F26">
      <w:r>
        <w:t>Where the terms are:</w:t>
      </w:r>
    </w:p>
    <w:p w:rsidR="00135F26" w:rsidRDefault="00135F26" w:rsidP="00135F26"/>
    <w:p w:rsidR="00135F26" w:rsidRDefault="00135F26" w:rsidP="00135F26">
      <w:pPr>
        <w:tabs>
          <w:tab w:val="left" w:pos="900"/>
          <w:tab w:val="left" w:pos="1440"/>
        </w:tabs>
        <w:ind w:firstLine="360"/>
      </w:pPr>
      <w:r>
        <w:lastRenderedPageBreak/>
        <w:t>Q</w:t>
      </w:r>
      <w:r w:rsidRPr="00A93A45">
        <w:rPr>
          <w:vertAlign w:val="subscript"/>
        </w:rPr>
        <w:t>i</w:t>
      </w:r>
      <w:r>
        <w:tab/>
      </w:r>
      <w:r>
        <w:tab/>
        <w:t xml:space="preserve">= </w:t>
      </w:r>
      <w:r>
        <w:tab/>
        <w:t>flow for each period, gpm</w:t>
      </w:r>
    </w:p>
    <w:p w:rsidR="00135F26" w:rsidRDefault="00135F26" w:rsidP="00135F26">
      <w:pPr>
        <w:tabs>
          <w:tab w:val="left" w:pos="900"/>
          <w:tab w:val="left" w:pos="1440"/>
        </w:tabs>
        <w:ind w:firstLine="360"/>
      </w:pPr>
      <w:r>
        <w:t>TDH</w:t>
      </w:r>
      <w:r w:rsidRPr="00792FF3">
        <w:rPr>
          <w:vertAlign w:val="subscript"/>
        </w:rPr>
        <w:t>i</w:t>
      </w:r>
      <w:r>
        <w:tab/>
      </w:r>
      <w:r>
        <w:tab/>
        <w:t>=</w:t>
      </w:r>
      <w:r>
        <w:tab/>
        <w:t>total head for each period, ft</w:t>
      </w:r>
    </w:p>
    <w:p w:rsidR="00135F26" w:rsidRDefault="00135F26" w:rsidP="00135F26">
      <w:pPr>
        <w:tabs>
          <w:tab w:val="left" w:pos="900"/>
          <w:tab w:val="left" w:pos="1440"/>
        </w:tabs>
        <w:ind w:firstLine="360"/>
      </w:pPr>
      <w:r>
        <w:t>OH</w:t>
      </w:r>
      <w:r w:rsidRPr="00A93A45">
        <w:rPr>
          <w:vertAlign w:val="subscript"/>
        </w:rPr>
        <w:t>i</w:t>
      </w:r>
      <w:r>
        <w:tab/>
      </w:r>
      <w:r>
        <w:tab/>
        <w:t xml:space="preserve">= </w:t>
      </w:r>
      <w:r>
        <w:tab/>
        <w:t>operating hour for each period, hr/yr</w:t>
      </w:r>
    </w:p>
    <w:p w:rsidR="00135F26" w:rsidRDefault="00135F26" w:rsidP="00135F26">
      <w:pPr>
        <w:tabs>
          <w:tab w:val="left" w:pos="900"/>
          <w:tab w:val="left" w:pos="1440"/>
        </w:tabs>
        <w:ind w:firstLine="360"/>
      </w:pPr>
      <w:r>
        <w:t>EFF</w:t>
      </w:r>
      <w:r w:rsidRPr="00A93A45">
        <w:rPr>
          <w:vertAlign w:val="subscript"/>
        </w:rPr>
        <w:t>pi</w:t>
      </w:r>
      <w:r>
        <w:tab/>
      </w:r>
      <w:r>
        <w:tab/>
        <w:t xml:space="preserve">= </w:t>
      </w:r>
      <w:r>
        <w:tab/>
        <w:t>pump efficiency under each operating condition, no units</w:t>
      </w:r>
    </w:p>
    <w:p w:rsidR="00135F26" w:rsidRDefault="00135F26" w:rsidP="00135F26">
      <w:pPr>
        <w:tabs>
          <w:tab w:val="left" w:pos="900"/>
          <w:tab w:val="left" w:pos="1440"/>
          <w:tab w:val="left" w:pos="2160"/>
          <w:tab w:val="left" w:pos="2880"/>
          <w:tab w:val="left" w:pos="3600"/>
          <w:tab w:val="left" w:pos="4320"/>
          <w:tab w:val="left" w:pos="6620"/>
        </w:tabs>
        <w:ind w:firstLine="360"/>
      </w:pPr>
      <w:r>
        <w:t>EFF</w:t>
      </w:r>
      <w:r w:rsidRPr="00A93A45">
        <w:rPr>
          <w:vertAlign w:val="subscript"/>
        </w:rPr>
        <w:t>m</w:t>
      </w:r>
      <w:r>
        <w:tab/>
      </w:r>
      <w:r>
        <w:tab/>
        <w:t xml:space="preserve">= </w:t>
      </w:r>
      <w:r>
        <w:tab/>
        <w:t>motor efficiency, no units</w:t>
      </w:r>
      <w:r>
        <w:tab/>
      </w:r>
    </w:p>
    <w:p w:rsidR="00135F26" w:rsidRDefault="00135F26" w:rsidP="00135F26">
      <w:pPr>
        <w:tabs>
          <w:tab w:val="left" w:pos="900"/>
          <w:tab w:val="left" w:pos="1440"/>
          <w:tab w:val="left" w:pos="2160"/>
          <w:tab w:val="left" w:pos="2880"/>
          <w:tab w:val="left" w:pos="3600"/>
          <w:tab w:val="left" w:pos="4320"/>
          <w:tab w:val="left" w:pos="6620"/>
        </w:tabs>
        <w:ind w:firstLine="360"/>
      </w:pPr>
      <w:r>
        <w:t>EFF</w:t>
      </w:r>
      <w:r>
        <w:rPr>
          <w:vertAlign w:val="subscript"/>
        </w:rPr>
        <w:t>vfd</w:t>
      </w:r>
      <w:r>
        <w:tab/>
        <w:t xml:space="preserve">= </w:t>
      </w:r>
      <w:r>
        <w:tab/>
        <w:t>efficiency of variable frequency drive, no units</w:t>
      </w:r>
      <w:r>
        <w:tab/>
      </w:r>
    </w:p>
    <w:p w:rsidR="00135F26" w:rsidRDefault="00135F26" w:rsidP="00135F26">
      <w:pPr>
        <w:tabs>
          <w:tab w:val="left" w:pos="900"/>
          <w:tab w:val="left" w:pos="1440"/>
        </w:tabs>
        <w:ind w:firstLine="360"/>
      </w:pPr>
      <w:r>
        <w:t>C</w:t>
      </w:r>
      <w:r w:rsidRPr="00A93A45">
        <w:rPr>
          <w:vertAlign w:val="subscript"/>
        </w:rPr>
        <w:t>1</w:t>
      </w:r>
      <w:r>
        <w:tab/>
      </w:r>
      <w:r>
        <w:tab/>
        <w:t>=</w:t>
      </w:r>
      <w:r>
        <w:tab/>
        <w:t>conversion constant, 0.746 kW/hp</w:t>
      </w:r>
    </w:p>
    <w:p w:rsidR="00135F26" w:rsidRDefault="00135F26" w:rsidP="00135F26">
      <w:pPr>
        <w:tabs>
          <w:tab w:val="left" w:pos="900"/>
          <w:tab w:val="left" w:pos="1440"/>
        </w:tabs>
        <w:ind w:firstLine="360"/>
      </w:pPr>
      <w:r>
        <w:t>C</w:t>
      </w:r>
      <w:r>
        <w:rPr>
          <w:vertAlign w:val="subscript"/>
        </w:rPr>
        <w:t>2</w:t>
      </w:r>
      <w:r>
        <w:tab/>
      </w:r>
      <w:r>
        <w:tab/>
        <w:t>=</w:t>
      </w:r>
      <w:r>
        <w:tab/>
        <w:t>conversion constant, 3956 ft-gal/hp-min</w:t>
      </w:r>
    </w:p>
    <w:p w:rsidR="00135F26" w:rsidRDefault="00135F26" w:rsidP="00135F26">
      <w:pPr>
        <w:tabs>
          <w:tab w:val="left" w:pos="900"/>
          <w:tab w:val="left" w:pos="1440"/>
        </w:tabs>
        <w:ind w:firstLine="360"/>
      </w:pPr>
      <w:r>
        <w:t>throttle</w:t>
      </w:r>
      <w:r>
        <w:tab/>
        <w:t xml:space="preserve">= </w:t>
      </w:r>
      <w:r>
        <w:tab/>
        <w:t>throttled condition (baseline)</w:t>
      </w:r>
    </w:p>
    <w:p w:rsidR="00135F26" w:rsidRDefault="00135F26" w:rsidP="00135F26">
      <w:pPr>
        <w:tabs>
          <w:tab w:val="left" w:pos="900"/>
          <w:tab w:val="left" w:pos="1440"/>
        </w:tabs>
        <w:ind w:firstLine="360"/>
      </w:pPr>
      <w:r>
        <w:t>vfd</w:t>
      </w:r>
      <w:r>
        <w:tab/>
      </w:r>
      <w:r>
        <w:tab/>
        <w:t xml:space="preserve">= </w:t>
      </w:r>
      <w:r>
        <w:tab/>
        <w:t>VFD control (proposed)</w:t>
      </w:r>
    </w:p>
    <w:p w:rsidR="00D4289E" w:rsidRDefault="00D4289E" w:rsidP="00135F26">
      <w:pPr>
        <w:tabs>
          <w:tab w:val="left" w:pos="900"/>
          <w:tab w:val="left" w:pos="1440"/>
        </w:tabs>
        <w:ind w:firstLine="360"/>
      </w:pPr>
    </w:p>
    <w:p w:rsidR="00C069A2" w:rsidRPr="00314FE6" w:rsidRDefault="00B16127" w:rsidP="00B16127">
      <w:pPr>
        <w:pStyle w:val="Heading2"/>
      </w:pPr>
      <w:bookmarkStart w:id="23" w:name="_Toc447098731"/>
      <w:r>
        <w:t xml:space="preserve">2.2 </w:t>
      </w:r>
      <w:r w:rsidR="0030550A" w:rsidRPr="00314FE6">
        <w:t>Demand R</w:t>
      </w:r>
      <w:r w:rsidR="00C069A2" w:rsidRPr="00314FE6">
        <w:t>eduction Estimation Methodologies</w:t>
      </w:r>
      <w:bookmarkEnd w:id="23"/>
    </w:p>
    <w:p w:rsidR="00BC0ED1" w:rsidRDefault="00BC0ED1" w:rsidP="00E35EAA"/>
    <w:p w:rsidR="00135F26" w:rsidRPr="00EA6EFF" w:rsidRDefault="00135F26" w:rsidP="00135F26">
      <w:r w:rsidRPr="00EA6EFF">
        <w:t>The average demand savings (DS) for this measure can be estimated as follows:</w:t>
      </w:r>
    </w:p>
    <w:p w:rsidR="00135F26" w:rsidRPr="00EA6EFF" w:rsidRDefault="00135F26" w:rsidP="00135F26"/>
    <w:p w:rsidR="00135F26" w:rsidRPr="00EA6EFF" w:rsidRDefault="00135F26" w:rsidP="00135F26">
      <w:pPr>
        <w:tabs>
          <w:tab w:val="left" w:pos="900"/>
        </w:tabs>
        <w:ind w:firstLine="360"/>
      </w:pPr>
      <w:r w:rsidRPr="00EA6EFF">
        <w:t>DS</w:t>
      </w:r>
      <w:r w:rsidRPr="00EA6EFF">
        <w:tab/>
        <w:t>=</w:t>
      </w:r>
      <w:r w:rsidRPr="00EA6EFF">
        <w:tab/>
        <w:t>EES/ OH</w:t>
      </w:r>
      <w:r w:rsidRPr="00EA6EFF">
        <w:rPr>
          <w:vertAlign w:val="subscript"/>
        </w:rPr>
        <w:t>total</w:t>
      </w:r>
    </w:p>
    <w:p w:rsidR="00135F26" w:rsidRPr="00EA6EFF" w:rsidRDefault="00135F26" w:rsidP="00135F26"/>
    <w:p w:rsidR="00135F26" w:rsidRPr="00EA6EFF" w:rsidRDefault="00135F26" w:rsidP="00135F26">
      <w:r w:rsidRPr="00EA6EFF">
        <w:t>Where,</w:t>
      </w:r>
    </w:p>
    <w:p w:rsidR="00135F26" w:rsidRDefault="00135F26" w:rsidP="00135F26">
      <w:pPr>
        <w:rPr>
          <w:color w:val="FF0000"/>
        </w:rPr>
      </w:pPr>
    </w:p>
    <w:p w:rsidR="00135F26" w:rsidRDefault="00135F26" w:rsidP="00135F26">
      <w:pPr>
        <w:tabs>
          <w:tab w:val="left" w:pos="900"/>
          <w:tab w:val="left" w:pos="1440"/>
        </w:tabs>
        <w:ind w:firstLine="360"/>
      </w:pPr>
      <w:r>
        <w:t>EES</w:t>
      </w:r>
      <w:r>
        <w:tab/>
      </w:r>
      <w:r>
        <w:tab/>
        <w:t xml:space="preserve">= </w:t>
      </w:r>
      <w:r>
        <w:tab/>
        <w:t>electrical energy savings, kWh/yr</w:t>
      </w:r>
    </w:p>
    <w:p w:rsidR="00135F26" w:rsidRDefault="00135F26" w:rsidP="00135F26">
      <w:pPr>
        <w:tabs>
          <w:tab w:val="left" w:pos="900"/>
          <w:tab w:val="left" w:pos="1440"/>
        </w:tabs>
        <w:ind w:firstLine="360"/>
      </w:pPr>
      <w:r>
        <w:t>OH</w:t>
      </w:r>
      <w:r>
        <w:rPr>
          <w:vertAlign w:val="subscript"/>
        </w:rPr>
        <w:t>total</w:t>
      </w:r>
      <w:r>
        <w:tab/>
        <w:t xml:space="preserve">= </w:t>
      </w:r>
      <w:r>
        <w:tab/>
        <w:t>total operating hours, hr/yr</w:t>
      </w:r>
    </w:p>
    <w:p w:rsidR="00135F26" w:rsidRDefault="00135F26" w:rsidP="00135F26">
      <w:pPr>
        <w:rPr>
          <w:color w:val="FF0000"/>
        </w:rPr>
      </w:pPr>
    </w:p>
    <w:p w:rsidR="00135F26" w:rsidRDefault="00135F26" w:rsidP="00135F26">
      <w:r w:rsidRPr="00EA6EFF">
        <w:t>The Peak demand reduction depends on the climate zone of the agricultural pump, the flow that the pump is providing during the Peak</w:t>
      </w:r>
      <w:r>
        <w:t xml:space="preserve"> period as well as the associated</w:t>
      </w:r>
      <w:r w:rsidRPr="00EA6EFF">
        <w:t xml:space="preserve"> pump head and pump efficiency.  This varies significantly and would be difficult to estimate.  Thus, the </w:t>
      </w:r>
      <w:r>
        <w:t xml:space="preserve">Peak </w:t>
      </w:r>
      <w:r w:rsidRPr="00EA6EFF">
        <w:t xml:space="preserve">demand reduction </w:t>
      </w:r>
      <w:r>
        <w:t>is assumed to be</w:t>
      </w:r>
      <w:r w:rsidRPr="00EA6EFF">
        <w:t xml:space="preserve"> the average demand of the pump.  </w:t>
      </w:r>
    </w:p>
    <w:p w:rsidR="00EA0DBB" w:rsidRDefault="00EA0DBB" w:rsidP="00135F26"/>
    <w:p w:rsidR="00EA0DBB" w:rsidRDefault="00FD03E1" w:rsidP="00135F26">
      <w:r>
        <w:t xml:space="preserve">Please note that </w:t>
      </w:r>
      <w:r w:rsidR="00EA0DBB">
        <w:t xml:space="preserve">due to a Memorandum dated December 28, 2015 from the CPUC for </w:t>
      </w:r>
      <w:r>
        <w:t xml:space="preserve">custom </w:t>
      </w:r>
      <w:r w:rsidR="00EA0DBB">
        <w:t xml:space="preserve">Project No. NC0128786 (X493) subject titled “EAR Final Findings Memo,” the kW peak demand savings </w:t>
      </w:r>
      <w:r>
        <w:t>is under consideration, and PG&amp;E is conducting due diligence of the peak demand operation brought forward in the memo.  The discoveries and analyses will be shared with the CPUC and reflected in the next submission of this work paper in the next quarter with the effective date of January 1, 2016.</w:t>
      </w:r>
    </w:p>
    <w:p w:rsidR="006321F6" w:rsidRPr="00314FE6" w:rsidRDefault="006321F6" w:rsidP="00E35EAA">
      <w:pPr>
        <w:rPr>
          <w:highlight w:val="yellow"/>
        </w:rPr>
      </w:pPr>
    </w:p>
    <w:p w:rsidR="007878B9" w:rsidRPr="005A7B97" w:rsidRDefault="00276ED1" w:rsidP="00B16127">
      <w:pPr>
        <w:pStyle w:val="Heading2"/>
      </w:pPr>
      <w:bookmarkStart w:id="24" w:name="_Toc447098732"/>
      <w:r w:rsidRPr="005A7B97">
        <w:t xml:space="preserve">2.3. </w:t>
      </w:r>
      <w:r w:rsidR="007878B9" w:rsidRPr="005A7B97">
        <w:t>Gas Energy Savings Estimation Methodologies</w:t>
      </w:r>
      <w:bookmarkEnd w:id="24"/>
    </w:p>
    <w:p w:rsidR="00CF186A" w:rsidRPr="005A7B97" w:rsidRDefault="00CF0BFF" w:rsidP="00E35EAA">
      <w:pPr>
        <w:rPr>
          <w:color w:val="FF0000"/>
        </w:rPr>
      </w:pPr>
      <w:r>
        <w:t>There will not be any natural gas savings for this measure.</w:t>
      </w:r>
    </w:p>
    <w:p w:rsidR="001D763B" w:rsidRDefault="001D763B" w:rsidP="001D763B">
      <w:pPr>
        <w:pStyle w:val="Heading2"/>
      </w:pPr>
      <w:bookmarkStart w:id="25" w:name="_Toc393877396"/>
      <w:bookmarkStart w:id="26" w:name="_Toc447098733"/>
      <w:r w:rsidRPr="007878B9">
        <w:t>2.</w:t>
      </w:r>
      <w:r>
        <w:t>4. Categorized</w:t>
      </w:r>
      <w:r w:rsidRPr="007878B9">
        <w:t xml:space="preserve"> Energy Savings Estimation Methodologies</w:t>
      </w:r>
      <w:bookmarkEnd w:id="25"/>
      <w:bookmarkEnd w:id="26"/>
    </w:p>
    <w:p w:rsidR="001D763B" w:rsidRDefault="001D763B" w:rsidP="001D763B">
      <w:r>
        <w:t>The energy savings and demand savings for each measure in this work</w:t>
      </w:r>
      <w:r w:rsidR="00BE3658">
        <w:t xml:space="preserve"> </w:t>
      </w:r>
      <w:r>
        <w:t>paper were analyzed then the weighted averages were calculated based on the number of pump motors in each horsepower bin.</w:t>
      </w:r>
    </w:p>
    <w:p w:rsidR="001D763B" w:rsidRDefault="001D763B" w:rsidP="001D763B"/>
    <w:p w:rsidR="001D763B" w:rsidRDefault="001D763B" w:rsidP="001D763B">
      <w:r>
        <w:t>Well pumps larger than 300-hp and booster pumps larger than 150-hp are recommended to go through Customized Retrofit Incentives or New Construction, as applicable, as this was the range of pumps that most projects have seen come through these programs.</w:t>
      </w:r>
    </w:p>
    <w:p w:rsidR="001D763B" w:rsidRDefault="001D763B" w:rsidP="001D763B"/>
    <w:p w:rsidR="001D763B" w:rsidRDefault="001D763B" w:rsidP="006059DD">
      <w:pPr>
        <w:jc w:val="both"/>
      </w:pPr>
      <w:r>
        <w:t xml:space="preserve">Results were plotted on a graph showing pump horsepower versus kWh/hp to determine whether there were project(s) that were significantly off the linear curve.  The projects with significant variations (roughly 10% of the samples used) were removed to make the distribution more representative of average conditions.  </w:t>
      </w:r>
    </w:p>
    <w:p w:rsidR="001D763B" w:rsidRDefault="001D763B" w:rsidP="006059DD">
      <w:pPr>
        <w:jc w:val="both"/>
      </w:pPr>
    </w:p>
    <w:p w:rsidR="001D763B" w:rsidRDefault="001D763B" w:rsidP="006059DD">
      <w:pPr>
        <w:jc w:val="both"/>
      </w:pPr>
      <w:r>
        <w:t>Table</w:t>
      </w:r>
      <w:r w:rsidR="00915877">
        <w:t xml:space="preserve"> 8</w:t>
      </w:r>
      <w:r>
        <w:t xml:space="preserve"> below shows the result of the analyses of the selected PG&amp;E retrofit and new construction projects:</w:t>
      </w:r>
    </w:p>
    <w:p w:rsidR="0019278B" w:rsidRDefault="0019278B">
      <w:pPr>
        <w:rPr>
          <w:b/>
        </w:rPr>
      </w:pPr>
    </w:p>
    <w:p w:rsidR="001D763B" w:rsidRPr="002257DC" w:rsidRDefault="00915877" w:rsidP="001D763B">
      <w:pPr>
        <w:jc w:val="center"/>
        <w:rPr>
          <w:b/>
        </w:rPr>
      </w:pPr>
      <w:r>
        <w:rPr>
          <w:b/>
        </w:rPr>
        <w:lastRenderedPageBreak/>
        <w:t>Table 8</w:t>
      </w:r>
      <w:r w:rsidR="001D763B" w:rsidRPr="002257DC">
        <w:rPr>
          <w:b/>
        </w:rPr>
        <w:t xml:space="preserve"> </w:t>
      </w:r>
      <w:r w:rsidR="001D763B">
        <w:rPr>
          <w:b/>
        </w:rPr>
        <w:t>Savings Estimates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2943"/>
        <w:gridCol w:w="1620"/>
        <w:gridCol w:w="1530"/>
      </w:tblGrid>
      <w:tr w:rsidR="001D763B" w:rsidRPr="00CB7D56" w:rsidTr="005A45B2">
        <w:trPr>
          <w:jc w:val="center"/>
        </w:trPr>
        <w:tc>
          <w:tcPr>
            <w:tcW w:w="1053" w:type="dxa"/>
            <w:shd w:val="clear" w:color="auto" w:fill="BFBFBF"/>
            <w:vAlign w:val="center"/>
          </w:tcPr>
          <w:p w:rsidR="001D763B" w:rsidRPr="001D763B" w:rsidRDefault="001D763B" w:rsidP="005A45B2">
            <w:pPr>
              <w:jc w:val="center"/>
              <w:rPr>
                <w:b/>
                <w:bCs/>
              </w:rPr>
            </w:pPr>
            <w:r w:rsidRPr="001D763B">
              <w:rPr>
                <w:b/>
                <w:bCs/>
              </w:rPr>
              <w:t>Measure Code</w:t>
            </w:r>
          </w:p>
        </w:tc>
        <w:tc>
          <w:tcPr>
            <w:tcW w:w="2943" w:type="dxa"/>
            <w:shd w:val="clear" w:color="auto" w:fill="BFBFBF"/>
            <w:vAlign w:val="center"/>
          </w:tcPr>
          <w:p w:rsidR="001D763B" w:rsidRPr="001D763B" w:rsidRDefault="001D763B" w:rsidP="005A45B2">
            <w:pPr>
              <w:jc w:val="center"/>
              <w:rPr>
                <w:b/>
                <w:bCs/>
              </w:rPr>
            </w:pPr>
            <w:r w:rsidRPr="001D763B">
              <w:rPr>
                <w:b/>
                <w:bCs/>
              </w:rPr>
              <w:t>Measure name</w:t>
            </w:r>
          </w:p>
        </w:tc>
        <w:tc>
          <w:tcPr>
            <w:tcW w:w="1620" w:type="dxa"/>
            <w:shd w:val="clear" w:color="auto" w:fill="BFBFBF"/>
            <w:vAlign w:val="center"/>
          </w:tcPr>
          <w:p w:rsidR="001D763B" w:rsidRPr="00CB7D56" w:rsidRDefault="001D763B" w:rsidP="004A4876">
            <w:pPr>
              <w:jc w:val="center"/>
              <w:rPr>
                <w:b/>
              </w:rPr>
            </w:pPr>
            <w:r w:rsidRPr="00CB7D56">
              <w:rPr>
                <w:b/>
              </w:rPr>
              <w:t>Average kWh/hp</w:t>
            </w:r>
          </w:p>
        </w:tc>
        <w:tc>
          <w:tcPr>
            <w:tcW w:w="1530" w:type="dxa"/>
            <w:shd w:val="clear" w:color="auto" w:fill="BFBFBF"/>
            <w:vAlign w:val="center"/>
          </w:tcPr>
          <w:p w:rsidR="001D763B" w:rsidRPr="00CB7D56" w:rsidRDefault="001D763B" w:rsidP="004A4876">
            <w:pPr>
              <w:jc w:val="center"/>
              <w:rPr>
                <w:b/>
              </w:rPr>
            </w:pPr>
            <w:r w:rsidRPr="00CB7D56">
              <w:rPr>
                <w:b/>
              </w:rPr>
              <w:t>Average kW/hp</w:t>
            </w:r>
          </w:p>
        </w:tc>
      </w:tr>
      <w:tr w:rsidR="001D763B" w:rsidRPr="00CB7D56" w:rsidTr="005A45B2">
        <w:trPr>
          <w:trHeight w:hRule="exact" w:val="460"/>
          <w:jc w:val="center"/>
        </w:trPr>
        <w:tc>
          <w:tcPr>
            <w:tcW w:w="1053" w:type="dxa"/>
            <w:vAlign w:val="center"/>
          </w:tcPr>
          <w:p w:rsidR="001D763B" w:rsidRPr="001D763B" w:rsidRDefault="001D763B" w:rsidP="005A45B2">
            <w:pPr>
              <w:jc w:val="center"/>
            </w:pPr>
            <w:r w:rsidRPr="001D763B">
              <w:t>IR006</w:t>
            </w:r>
          </w:p>
        </w:tc>
        <w:tc>
          <w:tcPr>
            <w:tcW w:w="2943" w:type="dxa"/>
            <w:vAlign w:val="center"/>
          </w:tcPr>
          <w:p w:rsidR="001D763B" w:rsidRPr="001D763B" w:rsidRDefault="001D763B" w:rsidP="004A4876">
            <w:r w:rsidRPr="001D763B">
              <w:t>VFD ON AG WELL PUMPS (&lt;=300HP)</w:t>
            </w:r>
          </w:p>
        </w:tc>
        <w:tc>
          <w:tcPr>
            <w:tcW w:w="1620" w:type="dxa"/>
            <w:vAlign w:val="center"/>
          </w:tcPr>
          <w:p w:rsidR="001D763B" w:rsidRPr="00CB7D56" w:rsidRDefault="001D763B" w:rsidP="004A4876">
            <w:pPr>
              <w:jc w:val="center"/>
              <w:rPr>
                <w:sz w:val="22"/>
              </w:rPr>
            </w:pPr>
            <w:r w:rsidRPr="00CB7D56">
              <w:rPr>
                <w:sz w:val="22"/>
              </w:rPr>
              <w:t>256.</w:t>
            </w:r>
            <w:r>
              <w:rPr>
                <w:sz w:val="22"/>
              </w:rPr>
              <w:t>60</w:t>
            </w:r>
          </w:p>
        </w:tc>
        <w:tc>
          <w:tcPr>
            <w:tcW w:w="1530" w:type="dxa"/>
            <w:vAlign w:val="center"/>
          </w:tcPr>
          <w:p w:rsidR="001D763B" w:rsidRPr="00CB7D56" w:rsidRDefault="00EA0DBB" w:rsidP="004A4876">
            <w:pPr>
              <w:jc w:val="center"/>
              <w:rPr>
                <w:sz w:val="22"/>
              </w:rPr>
            </w:pPr>
            <w:r>
              <w:rPr>
                <w:sz w:val="22"/>
              </w:rPr>
              <w:t>0</w:t>
            </w:r>
            <w:r w:rsidR="001B3D47">
              <w:rPr>
                <w:sz w:val="22"/>
              </w:rPr>
              <w:t>.1207</w:t>
            </w:r>
          </w:p>
        </w:tc>
      </w:tr>
      <w:tr w:rsidR="001D763B" w:rsidRPr="00CB7D56" w:rsidTr="005A45B2">
        <w:trPr>
          <w:trHeight w:hRule="exact" w:val="532"/>
          <w:jc w:val="center"/>
        </w:trPr>
        <w:tc>
          <w:tcPr>
            <w:tcW w:w="1053" w:type="dxa"/>
            <w:vAlign w:val="center"/>
          </w:tcPr>
          <w:p w:rsidR="001D763B" w:rsidRPr="001D763B" w:rsidRDefault="001D763B" w:rsidP="005A45B2">
            <w:pPr>
              <w:jc w:val="center"/>
            </w:pPr>
            <w:r w:rsidRPr="001D763B">
              <w:t>IR007</w:t>
            </w:r>
          </w:p>
        </w:tc>
        <w:tc>
          <w:tcPr>
            <w:tcW w:w="2943" w:type="dxa"/>
            <w:vAlign w:val="center"/>
          </w:tcPr>
          <w:p w:rsidR="001D763B" w:rsidRPr="001D763B" w:rsidRDefault="001D763B" w:rsidP="004A4876">
            <w:r w:rsidRPr="001D763B">
              <w:t>VFD ON AG BOOSTER PUMPS (&lt;=150HP)</w:t>
            </w:r>
          </w:p>
        </w:tc>
        <w:tc>
          <w:tcPr>
            <w:tcW w:w="1620" w:type="dxa"/>
            <w:vAlign w:val="center"/>
          </w:tcPr>
          <w:p w:rsidR="001D763B" w:rsidRPr="00CB7D56" w:rsidRDefault="001D763B" w:rsidP="004A4876">
            <w:pPr>
              <w:jc w:val="center"/>
              <w:rPr>
                <w:sz w:val="22"/>
              </w:rPr>
            </w:pPr>
            <w:r>
              <w:rPr>
                <w:sz w:val="22"/>
              </w:rPr>
              <w:t>226.65</w:t>
            </w:r>
          </w:p>
        </w:tc>
        <w:tc>
          <w:tcPr>
            <w:tcW w:w="1530" w:type="dxa"/>
            <w:vAlign w:val="center"/>
          </w:tcPr>
          <w:p w:rsidR="001D763B" w:rsidRPr="00CB7D56" w:rsidRDefault="001D763B" w:rsidP="00EA0DBB">
            <w:pPr>
              <w:jc w:val="center"/>
              <w:rPr>
                <w:sz w:val="22"/>
              </w:rPr>
            </w:pPr>
            <w:r w:rsidRPr="00CB7D56">
              <w:rPr>
                <w:sz w:val="22"/>
              </w:rPr>
              <w:t>0</w:t>
            </w:r>
            <w:r w:rsidR="001B3D47">
              <w:rPr>
                <w:sz w:val="22"/>
              </w:rPr>
              <w:t>.122</w:t>
            </w:r>
          </w:p>
        </w:tc>
      </w:tr>
    </w:tbl>
    <w:p w:rsidR="001D763B" w:rsidRPr="00CB7D56" w:rsidRDefault="001D763B" w:rsidP="001D763B">
      <w:pPr>
        <w:ind w:firstLine="1260"/>
      </w:pPr>
      <w:r w:rsidRPr="00CB7D56">
        <w:t xml:space="preserve">  * Calculated based on using $0.08/kW and $150/kW reduction</w:t>
      </w:r>
    </w:p>
    <w:p w:rsidR="001D763B" w:rsidRDefault="001D763B" w:rsidP="001D763B"/>
    <w:p w:rsidR="00B7164C" w:rsidRPr="00E7660C" w:rsidRDefault="00C069A2" w:rsidP="00E35EAA">
      <w:pPr>
        <w:pStyle w:val="Heading1"/>
      </w:pPr>
      <w:bookmarkStart w:id="27" w:name="_Toc447098734"/>
      <w:r w:rsidRPr="00E7660C">
        <w:t>Section 3</w:t>
      </w:r>
      <w:r w:rsidR="003129E8" w:rsidRPr="00E7660C">
        <w:t>.</w:t>
      </w:r>
      <w:r w:rsidRPr="00E7660C">
        <w:t xml:space="preserve"> Load Shapes</w:t>
      </w:r>
      <w:bookmarkEnd w:id="27"/>
    </w:p>
    <w:p w:rsidR="001B21DD" w:rsidRPr="00E101A7" w:rsidRDefault="001B21DD" w:rsidP="006059DD">
      <w:pPr>
        <w:jc w:val="both"/>
      </w:pPr>
      <w:bookmarkStart w:id="28" w:name="_Toc173742997"/>
      <w:r w:rsidRPr="00E101A7">
        <w:t>This section of the work paper explains the measure</w:t>
      </w:r>
      <w:r>
        <w:t>’s</w:t>
      </w:r>
      <w:r w:rsidRPr="00E101A7">
        <w:t xml:space="preserve"> load shape, which indicates what fraction of annual energy usage and savings occurs in each time period of the year. </w:t>
      </w:r>
    </w:p>
    <w:p w:rsidR="001B21DD" w:rsidRDefault="001B21DD" w:rsidP="006059DD">
      <w:pPr>
        <w:jc w:val="both"/>
      </w:pPr>
    </w:p>
    <w:p w:rsidR="00CF0BFF" w:rsidRDefault="00CF0BFF" w:rsidP="006059DD">
      <w:pPr>
        <w:jc w:val="both"/>
      </w:pPr>
      <w:r>
        <w:t>The difference between the base case load shape and the measure load shape would be the most appropriate load shape; however, only end-use profiles are available.  Therefore, the closest load shape chosen for this me</w:t>
      </w:r>
      <w:r w:rsidRPr="00071A4E">
        <w:t>asure is the A</w:t>
      </w:r>
      <w:r w:rsidR="001B21DD">
        <w:t>gricultural</w:t>
      </w:r>
      <w:r w:rsidRPr="00071A4E">
        <w:t xml:space="preserve"> load shape</w:t>
      </w:r>
      <w:r w:rsidR="001B21DD">
        <w:t xml:space="preserve"> based on E3 calculators</w:t>
      </w:r>
      <w:r w:rsidRPr="00071A4E">
        <w:t xml:space="preserve">.  See table below for </w:t>
      </w:r>
      <w:r w:rsidR="001B21DD">
        <w:t>the measure</w:t>
      </w:r>
      <w:r w:rsidRPr="00071A4E">
        <w:t xml:space="preserve"> Load Shape.  Please refer to </w:t>
      </w:r>
      <w:r w:rsidR="00E20F12">
        <w:t>Attachment A</w:t>
      </w:r>
      <w:r w:rsidRPr="00071A4E">
        <w:t xml:space="preserve"> for </w:t>
      </w:r>
      <w:r w:rsidR="001B21DD">
        <w:t>reference</w:t>
      </w:r>
      <w:r w:rsidRPr="00071A4E">
        <w:t xml:space="preserve"> regarding the load shapes for this measure.</w:t>
      </w:r>
    </w:p>
    <w:p w:rsidR="00CF0BFF" w:rsidRPr="00D053D1" w:rsidRDefault="00CF0BFF" w:rsidP="00CF0BFF">
      <w:pPr>
        <w:rPr>
          <w:sz w:val="16"/>
          <w:szCs w:val="16"/>
        </w:rPr>
      </w:pPr>
    </w:p>
    <w:p w:rsidR="00CF0BFF" w:rsidRPr="00915877" w:rsidRDefault="00CF0BFF" w:rsidP="00CF0BFF">
      <w:pPr>
        <w:pStyle w:val="Caption"/>
        <w:jc w:val="center"/>
        <w:rPr>
          <w:b w:val="0"/>
        </w:rPr>
      </w:pPr>
      <w:bookmarkStart w:id="29" w:name="_Ref296597958"/>
      <w:r w:rsidRPr="00915877">
        <w:t xml:space="preserve">Table </w:t>
      </w:r>
      <w:bookmarkEnd w:id="29"/>
      <w:r w:rsidR="0051455E" w:rsidRPr="00915877">
        <w:t>9</w:t>
      </w:r>
      <w:r w:rsidRPr="00915877">
        <w:t xml:space="preserve"> Load Shapes</w:t>
      </w:r>
    </w:p>
    <w:tbl>
      <w:tblPr>
        <w:tblW w:w="4645" w:type="pct"/>
        <w:jc w:val="center"/>
        <w:tblInd w:w="108" w:type="dxa"/>
        <w:tblBorders>
          <w:insideH w:val="single" w:sz="18" w:space="0" w:color="FFFFFF"/>
          <w:insideV w:val="single" w:sz="18" w:space="0" w:color="FFFFFF"/>
        </w:tblBorders>
        <w:tblLook w:val="01E0" w:firstRow="1" w:lastRow="1" w:firstColumn="1" w:lastColumn="1" w:noHBand="0" w:noVBand="0"/>
      </w:tblPr>
      <w:tblGrid>
        <w:gridCol w:w="2647"/>
        <w:gridCol w:w="2790"/>
        <w:gridCol w:w="3459"/>
      </w:tblGrid>
      <w:tr w:rsidR="00CF0BFF" w:rsidRPr="00915877" w:rsidTr="00AD7A0D">
        <w:trPr>
          <w:trHeight w:val="258"/>
          <w:jc w:val="center"/>
        </w:trPr>
        <w:tc>
          <w:tcPr>
            <w:tcW w:w="1488" w:type="pct"/>
            <w:shd w:val="pct20" w:color="000000" w:fill="FFFFFF"/>
          </w:tcPr>
          <w:p w:rsidR="00CF0BFF" w:rsidRPr="00915877" w:rsidRDefault="001B21DD" w:rsidP="00C21706">
            <w:pPr>
              <w:jc w:val="center"/>
              <w:rPr>
                <w:b/>
                <w:bCs/>
                <w:highlight w:val="yellow"/>
              </w:rPr>
            </w:pPr>
            <w:r w:rsidRPr="00915877">
              <w:rPr>
                <w:b/>
                <w:bCs/>
              </w:rPr>
              <w:t>E3 Target Sector</w:t>
            </w:r>
          </w:p>
        </w:tc>
        <w:tc>
          <w:tcPr>
            <w:tcW w:w="1568" w:type="pct"/>
            <w:shd w:val="pct20" w:color="000000" w:fill="FFFFFF"/>
          </w:tcPr>
          <w:p w:rsidR="00CF0BFF" w:rsidRPr="00915877" w:rsidRDefault="001B21DD" w:rsidP="00BB6DB1">
            <w:pPr>
              <w:jc w:val="center"/>
              <w:rPr>
                <w:b/>
                <w:bCs/>
                <w:highlight w:val="yellow"/>
              </w:rPr>
            </w:pPr>
            <w:r w:rsidRPr="00915877">
              <w:rPr>
                <w:b/>
                <w:bCs/>
              </w:rPr>
              <w:t>Load Shape</w:t>
            </w:r>
          </w:p>
        </w:tc>
        <w:tc>
          <w:tcPr>
            <w:tcW w:w="1944" w:type="pct"/>
            <w:shd w:val="pct20" w:color="000000" w:fill="FFFFFF"/>
          </w:tcPr>
          <w:p w:rsidR="00CF0BFF" w:rsidRPr="00915877" w:rsidRDefault="001B21DD" w:rsidP="00C21706">
            <w:pPr>
              <w:jc w:val="center"/>
              <w:rPr>
                <w:b/>
                <w:bCs/>
              </w:rPr>
            </w:pPr>
            <w:r w:rsidRPr="00915877">
              <w:rPr>
                <w:b/>
                <w:bCs/>
              </w:rPr>
              <w:t>Code</w:t>
            </w:r>
          </w:p>
        </w:tc>
      </w:tr>
      <w:tr w:rsidR="00CF0BFF" w:rsidRPr="00915877" w:rsidTr="00AD7A0D">
        <w:trPr>
          <w:trHeight w:val="258"/>
          <w:jc w:val="center"/>
        </w:trPr>
        <w:tc>
          <w:tcPr>
            <w:tcW w:w="1488" w:type="pct"/>
            <w:shd w:val="pct5" w:color="000000" w:fill="FFFFFF"/>
          </w:tcPr>
          <w:p w:rsidR="00CF0BFF" w:rsidRPr="00915877" w:rsidRDefault="001B21DD" w:rsidP="00C21706">
            <w:pPr>
              <w:jc w:val="center"/>
            </w:pPr>
            <w:r w:rsidRPr="00915877">
              <w:t>Agricultural</w:t>
            </w:r>
          </w:p>
        </w:tc>
        <w:tc>
          <w:tcPr>
            <w:tcW w:w="1568" w:type="pct"/>
            <w:shd w:val="pct5" w:color="000000" w:fill="FFFFFF"/>
          </w:tcPr>
          <w:p w:rsidR="00CF0BFF" w:rsidRPr="00915877" w:rsidRDefault="001B21DD" w:rsidP="00C21706">
            <w:pPr>
              <w:jc w:val="center"/>
            </w:pPr>
            <w:r w:rsidRPr="00915877">
              <w:t>14 = Agricultural</w:t>
            </w:r>
          </w:p>
        </w:tc>
        <w:tc>
          <w:tcPr>
            <w:tcW w:w="1944" w:type="pct"/>
            <w:shd w:val="pct5" w:color="000000" w:fill="FFFFFF"/>
          </w:tcPr>
          <w:p w:rsidR="00CF0BFF" w:rsidRPr="00915877" w:rsidRDefault="001B21DD" w:rsidP="00C21706">
            <w:pPr>
              <w:jc w:val="center"/>
            </w:pPr>
            <w:r w:rsidRPr="00915877">
              <w:t>PGE:AGRICULTURAL:14 = Agricultural</w:t>
            </w:r>
          </w:p>
        </w:tc>
      </w:tr>
      <w:bookmarkEnd w:id="28"/>
    </w:tbl>
    <w:p w:rsidR="00451B66" w:rsidRPr="00314FE6" w:rsidRDefault="00451B66" w:rsidP="00E35EAA"/>
    <w:p w:rsidR="0091058D" w:rsidRPr="00314FE6" w:rsidRDefault="00C069A2" w:rsidP="00E35EAA">
      <w:pPr>
        <w:pStyle w:val="Heading1"/>
      </w:pPr>
      <w:bookmarkStart w:id="30" w:name="_Toc447098735"/>
      <w:r w:rsidRPr="00314FE6">
        <w:t>Section 4</w:t>
      </w:r>
      <w:r w:rsidR="003129E8" w:rsidRPr="00314FE6">
        <w:t>.</w:t>
      </w:r>
      <w:r w:rsidRPr="00314FE6">
        <w:t xml:space="preserve"> Base Case &amp; Measure Costs</w:t>
      </w:r>
      <w:bookmarkEnd w:id="30"/>
    </w:p>
    <w:p w:rsidR="00D17F75" w:rsidRPr="0016606B" w:rsidRDefault="00C069A2" w:rsidP="00B16127">
      <w:pPr>
        <w:pStyle w:val="Heading2"/>
      </w:pPr>
      <w:bookmarkStart w:id="31" w:name="_Toc447098736"/>
      <w:r w:rsidRPr="00314FE6">
        <w:t xml:space="preserve">4.1 </w:t>
      </w:r>
      <w:r w:rsidRPr="0016606B">
        <w:t>Base Case</w:t>
      </w:r>
      <w:r w:rsidR="00C221D5" w:rsidRPr="0016606B">
        <w:t>(</w:t>
      </w:r>
      <w:r w:rsidRPr="0016606B">
        <w:t>s</w:t>
      </w:r>
      <w:r w:rsidR="00C221D5" w:rsidRPr="0016606B">
        <w:t>)</w:t>
      </w:r>
      <w:r w:rsidRPr="0016606B">
        <w:t xml:space="preserve"> Costs</w:t>
      </w:r>
      <w:bookmarkEnd w:id="31"/>
    </w:p>
    <w:p w:rsidR="006E1F4B" w:rsidRDefault="00135F26" w:rsidP="006059DD">
      <w:pPr>
        <w:jc w:val="both"/>
      </w:pPr>
      <w:r>
        <w:t>For th</w:t>
      </w:r>
      <w:r w:rsidR="006E1F4B">
        <w:t>e</w:t>
      </w:r>
      <w:r>
        <w:t xml:space="preserve"> </w:t>
      </w:r>
      <w:r w:rsidR="006E1F4B">
        <w:t>REA</w:t>
      </w:r>
      <w:r w:rsidR="006059DD">
        <w:t xml:space="preserve"> </w:t>
      </w:r>
      <w:r>
        <w:t>measure categor</w:t>
      </w:r>
      <w:r w:rsidR="00A1737C">
        <w:t>y</w:t>
      </w:r>
      <w:r>
        <w:t xml:space="preserve">, the base </w:t>
      </w:r>
      <w:r w:rsidR="00D4289E">
        <w:t xml:space="preserve">case </w:t>
      </w:r>
      <w:r>
        <w:t xml:space="preserve">cost is assumed to be zero because these are </w:t>
      </w:r>
      <w:r w:rsidR="00D4289E">
        <w:t xml:space="preserve">no </w:t>
      </w:r>
      <w:r>
        <w:t>modifications to the customer’s existing equipment.  The customer’s alternative is to make no changes to their existing irrigation pumping system.</w:t>
      </w:r>
      <w:r w:rsidR="006E1F4B">
        <w:t xml:space="preserve">  </w:t>
      </w:r>
    </w:p>
    <w:p w:rsidR="006E1F4B" w:rsidRDefault="006E1F4B" w:rsidP="006059DD">
      <w:pPr>
        <w:jc w:val="both"/>
      </w:pPr>
    </w:p>
    <w:p w:rsidR="00135F26" w:rsidRDefault="006E1F4B" w:rsidP="006059DD">
      <w:pPr>
        <w:jc w:val="both"/>
      </w:pPr>
      <w:r w:rsidRPr="006059DD">
        <w:t>For NC measure categor</w:t>
      </w:r>
      <w:r w:rsidR="00A1737C">
        <w:t>ies</w:t>
      </w:r>
      <w:r w:rsidRPr="006059DD">
        <w:t xml:space="preserve">, the base </w:t>
      </w:r>
      <w:r w:rsidR="00D4289E">
        <w:t xml:space="preserve">case </w:t>
      </w:r>
      <w:r w:rsidRPr="006059DD">
        <w:t xml:space="preserve">cost is assumed to be </w:t>
      </w:r>
      <w:r w:rsidR="006059DD" w:rsidRPr="006059DD">
        <w:t>the cost of a pump motor equipped with a soft starter</w:t>
      </w:r>
      <w:r w:rsidR="00ED262E">
        <w:t>.</w:t>
      </w:r>
      <w:r w:rsidR="00135F26" w:rsidRPr="006059DD">
        <w:t xml:space="preserve">  </w:t>
      </w:r>
      <w:r w:rsidR="00ED262E">
        <w:t>C</w:t>
      </w:r>
      <w:r w:rsidR="00ED262E" w:rsidRPr="006059DD">
        <w:t xml:space="preserve">ost data </w:t>
      </w:r>
      <w:r w:rsidR="00ED262E">
        <w:t xml:space="preserve">for soft starters </w:t>
      </w:r>
      <w:r w:rsidR="00ED262E" w:rsidRPr="006059DD">
        <w:t>was obtained from RS Means Mechanical Cost Data Guide 2014.</w:t>
      </w:r>
      <w:r w:rsidR="00D22EB8">
        <w:t xml:space="preserve">  The cost of </w:t>
      </w:r>
      <w:r w:rsidR="00D4289E">
        <w:t xml:space="preserve">a </w:t>
      </w:r>
      <w:r w:rsidR="00D22EB8">
        <w:t>soft starter is approximately $64/hp.</w:t>
      </w:r>
      <w:r w:rsidR="00A1737C">
        <w:t xml:space="preserve">  The labor cost is the same as the labor cost in Section 4.2 Measure Case Costs.</w:t>
      </w:r>
    </w:p>
    <w:p w:rsidR="00D4289E" w:rsidRPr="006059DD" w:rsidRDefault="00D4289E" w:rsidP="006059DD">
      <w:pPr>
        <w:jc w:val="both"/>
      </w:pPr>
    </w:p>
    <w:p w:rsidR="005910C8" w:rsidRDefault="005910C8" w:rsidP="00B16127">
      <w:pPr>
        <w:pStyle w:val="Heading2"/>
      </w:pPr>
      <w:bookmarkStart w:id="32" w:name="_Toc447098737"/>
      <w:r w:rsidRPr="00314FE6">
        <w:t>4.2 Measure Case Costs</w:t>
      </w:r>
      <w:bookmarkEnd w:id="32"/>
    </w:p>
    <w:p w:rsidR="00135F26" w:rsidRPr="006059DD" w:rsidRDefault="00135F26" w:rsidP="006059DD">
      <w:pPr>
        <w:jc w:val="both"/>
      </w:pPr>
    </w:p>
    <w:p w:rsidR="00135F26" w:rsidRPr="006059DD" w:rsidRDefault="00135F26" w:rsidP="006059DD">
      <w:pPr>
        <w:jc w:val="both"/>
      </w:pPr>
      <w:r w:rsidRPr="006059DD">
        <w:t xml:space="preserve">For this deemed measure, cost data was obtained from RS Means Mechanical Cost Data Guide 2014.  The costs for </w:t>
      </w:r>
      <w:r w:rsidR="00D4289E">
        <w:t xml:space="preserve">VFDs on </w:t>
      </w:r>
      <w:r w:rsidRPr="006059DD">
        <w:t>pumps in the eligible horsepower ranges shown in Table-1 were averaged and the resulting cost for each pump type is given in Table</w:t>
      </w:r>
      <w:r w:rsidR="00915877" w:rsidRPr="006059DD">
        <w:t xml:space="preserve"> 10</w:t>
      </w:r>
      <w:r w:rsidRPr="006059DD">
        <w:t xml:space="preserve"> below.  </w:t>
      </w:r>
    </w:p>
    <w:p w:rsidR="00135F26" w:rsidRPr="006059DD" w:rsidRDefault="00135F26" w:rsidP="00135F26"/>
    <w:p w:rsidR="00135F26" w:rsidRPr="006059DD" w:rsidRDefault="00135F26" w:rsidP="00135F26">
      <w:pPr>
        <w:pStyle w:val="Caption"/>
        <w:keepNext/>
        <w:jc w:val="center"/>
        <w:rPr>
          <w:szCs w:val="24"/>
        </w:rPr>
      </w:pPr>
      <w:r w:rsidRPr="006059DD">
        <w:rPr>
          <w:sz w:val="16"/>
        </w:rPr>
        <w:lastRenderedPageBreak/>
        <w:t xml:space="preserve">  </w:t>
      </w:r>
      <w:r w:rsidRPr="006059DD">
        <w:rPr>
          <w:szCs w:val="24"/>
        </w:rPr>
        <w:t>Table</w:t>
      </w:r>
      <w:r w:rsidR="00915877" w:rsidRPr="006059DD">
        <w:rPr>
          <w:szCs w:val="24"/>
        </w:rPr>
        <w:t xml:space="preserve"> 10</w:t>
      </w:r>
      <w:r w:rsidRPr="006059DD">
        <w:rPr>
          <w:szCs w:val="24"/>
        </w:rPr>
        <w:t xml:space="preserve"> Gross Measure Cost </w:t>
      </w:r>
    </w:p>
    <w:tbl>
      <w:tblPr>
        <w:tblW w:w="4935"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838"/>
        <w:gridCol w:w="837"/>
        <w:gridCol w:w="1028"/>
        <w:gridCol w:w="3393"/>
        <w:gridCol w:w="1146"/>
        <w:gridCol w:w="1057"/>
        <w:gridCol w:w="1153"/>
      </w:tblGrid>
      <w:tr w:rsidR="006059DD" w:rsidRPr="006059DD" w:rsidTr="0019278B">
        <w:trPr>
          <w:jc w:val="center"/>
        </w:trPr>
        <w:tc>
          <w:tcPr>
            <w:tcW w:w="443" w:type="pct"/>
            <w:shd w:val="clear" w:color="auto" w:fill="BFBFBF"/>
            <w:vAlign w:val="center"/>
          </w:tcPr>
          <w:p w:rsidR="00324867" w:rsidRPr="006059DD" w:rsidRDefault="00324867" w:rsidP="00113FA6">
            <w:pPr>
              <w:keepNext/>
              <w:jc w:val="center"/>
              <w:rPr>
                <w:b/>
                <w:sz w:val="18"/>
              </w:rPr>
            </w:pPr>
            <w:r w:rsidRPr="006059DD">
              <w:rPr>
                <w:b/>
                <w:sz w:val="18"/>
              </w:rPr>
              <w:t>Market</w:t>
            </w:r>
          </w:p>
        </w:tc>
        <w:tc>
          <w:tcPr>
            <w:tcW w:w="443" w:type="pct"/>
            <w:shd w:val="clear" w:color="auto" w:fill="BFBFBF"/>
            <w:vAlign w:val="center"/>
          </w:tcPr>
          <w:p w:rsidR="00324867" w:rsidRPr="006059DD" w:rsidRDefault="00324867" w:rsidP="00113FA6">
            <w:pPr>
              <w:keepNext/>
              <w:jc w:val="center"/>
              <w:rPr>
                <w:b/>
                <w:sz w:val="18"/>
              </w:rPr>
            </w:pPr>
            <w:r w:rsidRPr="006059DD">
              <w:rPr>
                <w:b/>
                <w:sz w:val="18"/>
              </w:rPr>
              <w:t>Pump Type</w:t>
            </w:r>
          </w:p>
        </w:tc>
        <w:tc>
          <w:tcPr>
            <w:tcW w:w="544" w:type="pct"/>
            <w:shd w:val="clear" w:color="auto" w:fill="BFBFBF"/>
            <w:vAlign w:val="center"/>
          </w:tcPr>
          <w:p w:rsidR="00324867" w:rsidRPr="006059DD" w:rsidRDefault="00324867" w:rsidP="00113FA6">
            <w:pPr>
              <w:jc w:val="center"/>
              <w:rPr>
                <w:b/>
                <w:bCs/>
              </w:rPr>
            </w:pPr>
            <w:r w:rsidRPr="006059DD">
              <w:rPr>
                <w:b/>
                <w:bCs/>
              </w:rPr>
              <w:t>Measure Code</w:t>
            </w:r>
          </w:p>
        </w:tc>
        <w:tc>
          <w:tcPr>
            <w:tcW w:w="1795" w:type="pct"/>
            <w:shd w:val="clear" w:color="auto" w:fill="BFBFBF"/>
            <w:vAlign w:val="center"/>
          </w:tcPr>
          <w:p w:rsidR="00324867" w:rsidRPr="006059DD" w:rsidRDefault="00324867" w:rsidP="00042297">
            <w:pPr>
              <w:keepNext/>
              <w:jc w:val="center"/>
              <w:rPr>
                <w:b/>
                <w:sz w:val="18"/>
              </w:rPr>
            </w:pPr>
            <w:r w:rsidRPr="006059DD">
              <w:rPr>
                <w:b/>
                <w:sz w:val="18"/>
              </w:rPr>
              <w:t>Measure</w:t>
            </w:r>
          </w:p>
        </w:tc>
        <w:tc>
          <w:tcPr>
            <w:tcW w:w="606" w:type="pct"/>
            <w:shd w:val="clear" w:color="auto" w:fill="BFBFBF"/>
            <w:vAlign w:val="center"/>
          </w:tcPr>
          <w:p w:rsidR="00324867" w:rsidRPr="006059DD" w:rsidRDefault="00324867" w:rsidP="00042297">
            <w:pPr>
              <w:keepNext/>
              <w:jc w:val="center"/>
              <w:rPr>
                <w:b/>
                <w:sz w:val="18"/>
              </w:rPr>
            </w:pPr>
            <w:r w:rsidRPr="006059DD">
              <w:rPr>
                <w:b/>
                <w:sz w:val="18"/>
              </w:rPr>
              <w:t>Material Cost/hp</w:t>
            </w:r>
          </w:p>
        </w:tc>
        <w:tc>
          <w:tcPr>
            <w:tcW w:w="559" w:type="pct"/>
            <w:shd w:val="clear" w:color="auto" w:fill="BFBFBF"/>
            <w:vAlign w:val="center"/>
          </w:tcPr>
          <w:p w:rsidR="00324867" w:rsidRPr="006059DD" w:rsidRDefault="00324867" w:rsidP="00042297">
            <w:pPr>
              <w:keepNext/>
              <w:jc w:val="center"/>
              <w:rPr>
                <w:b/>
                <w:sz w:val="18"/>
              </w:rPr>
            </w:pPr>
            <w:r w:rsidRPr="006059DD">
              <w:rPr>
                <w:b/>
                <w:sz w:val="18"/>
              </w:rPr>
              <w:t>Labor Cost/hp</w:t>
            </w:r>
          </w:p>
        </w:tc>
        <w:tc>
          <w:tcPr>
            <w:tcW w:w="610" w:type="pct"/>
            <w:shd w:val="clear" w:color="auto" w:fill="BFBFBF"/>
            <w:vAlign w:val="center"/>
          </w:tcPr>
          <w:p w:rsidR="00324867" w:rsidRPr="006059DD" w:rsidRDefault="006F27AD" w:rsidP="00042297">
            <w:pPr>
              <w:keepNext/>
              <w:jc w:val="center"/>
              <w:rPr>
                <w:b/>
                <w:sz w:val="18"/>
              </w:rPr>
            </w:pPr>
            <w:r>
              <w:rPr>
                <w:b/>
                <w:sz w:val="18"/>
              </w:rPr>
              <w:t>Gross</w:t>
            </w:r>
            <w:r w:rsidR="00324867" w:rsidRPr="006059DD">
              <w:rPr>
                <w:b/>
                <w:sz w:val="18"/>
              </w:rPr>
              <w:t xml:space="preserve"> Measure Cost/hp</w:t>
            </w:r>
          </w:p>
        </w:tc>
      </w:tr>
      <w:tr w:rsidR="006059DD" w:rsidRPr="006059DD" w:rsidTr="0019278B">
        <w:trPr>
          <w:jc w:val="center"/>
        </w:trPr>
        <w:tc>
          <w:tcPr>
            <w:tcW w:w="443" w:type="pct"/>
            <w:shd w:val="clear" w:color="auto" w:fill="D9D9D9"/>
            <w:vAlign w:val="center"/>
          </w:tcPr>
          <w:p w:rsidR="00324867" w:rsidRPr="006059DD" w:rsidRDefault="00324867" w:rsidP="00113FA6">
            <w:pPr>
              <w:keepNext/>
              <w:jc w:val="center"/>
              <w:rPr>
                <w:sz w:val="18"/>
              </w:rPr>
            </w:pPr>
            <w:r w:rsidRPr="006059DD">
              <w:rPr>
                <w:sz w:val="18"/>
              </w:rPr>
              <w:t>AG</w:t>
            </w:r>
          </w:p>
        </w:tc>
        <w:tc>
          <w:tcPr>
            <w:tcW w:w="443" w:type="pct"/>
            <w:shd w:val="clear" w:color="auto" w:fill="D9D9D9"/>
            <w:vAlign w:val="center"/>
          </w:tcPr>
          <w:p w:rsidR="00324867" w:rsidRPr="006059DD" w:rsidRDefault="00324867" w:rsidP="00113FA6">
            <w:pPr>
              <w:keepNext/>
              <w:jc w:val="center"/>
              <w:rPr>
                <w:sz w:val="18"/>
              </w:rPr>
            </w:pPr>
            <w:r w:rsidRPr="006059DD">
              <w:rPr>
                <w:sz w:val="18"/>
              </w:rPr>
              <w:t>Well</w:t>
            </w:r>
          </w:p>
        </w:tc>
        <w:tc>
          <w:tcPr>
            <w:tcW w:w="544" w:type="pct"/>
            <w:shd w:val="clear" w:color="auto" w:fill="D9D9D9"/>
            <w:vAlign w:val="center"/>
          </w:tcPr>
          <w:p w:rsidR="00324867" w:rsidRPr="006059DD" w:rsidRDefault="00324867" w:rsidP="00113FA6">
            <w:pPr>
              <w:jc w:val="center"/>
            </w:pPr>
            <w:r w:rsidRPr="006059DD">
              <w:t>IR006</w:t>
            </w:r>
          </w:p>
        </w:tc>
        <w:tc>
          <w:tcPr>
            <w:tcW w:w="1795" w:type="pct"/>
            <w:shd w:val="clear" w:color="auto" w:fill="D9D9D9"/>
            <w:vAlign w:val="center"/>
          </w:tcPr>
          <w:p w:rsidR="00324867" w:rsidRPr="006059DD" w:rsidRDefault="00324867" w:rsidP="004A4876">
            <w:pPr>
              <w:rPr>
                <w:sz w:val="18"/>
              </w:rPr>
            </w:pPr>
            <w:r w:rsidRPr="006059DD">
              <w:rPr>
                <w:sz w:val="18"/>
              </w:rPr>
              <w:t>VFD ON AG WELL PUMPS (&lt;=300HP)</w:t>
            </w:r>
          </w:p>
        </w:tc>
        <w:tc>
          <w:tcPr>
            <w:tcW w:w="606" w:type="pct"/>
            <w:shd w:val="clear" w:color="auto" w:fill="D9D9D9"/>
            <w:vAlign w:val="center"/>
          </w:tcPr>
          <w:p w:rsidR="00324867" w:rsidRPr="006059DD" w:rsidRDefault="00324867" w:rsidP="00042297">
            <w:pPr>
              <w:keepNext/>
              <w:jc w:val="center"/>
              <w:rPr>
                <w:sz w:val="18"/>
              </w:rPr>
            </w:pPr>
            <w:r w:rsidRPr="006059DD">
              <w:rPr>
                <w:sz w:val="18"/>
              </w:rPr>
              <w:t>$163/hp</w:t>
            </w:r>
          </w:p>
        </w:tc>
        <w:tc>
          <w:tcPr>
            <w:tcW w:w="559" w:type="pct"/>
            <w:shd w:val="clear" w:color="auto" w:fill="D9D9D9"/>
            <w:vAlign w:val="center"/>
          </w:tcPr>
          <w:p w:rsidR="00324867" w:rsidRPr="006059DD" w:rsidRDefault="00324867" w:rsidP="00042297">
            <w:pPr>
              <w:keepNext/>
              <w:jc w:val="center"/>
              <w:rPr>
                <w:sz w:val="18"/>
              </w:rPr>
            </w:pPr>
            <w:r w:rsidRPr="006059DD">
              <w:rPr>
                <w:sz w:val="18"/>
              </w:rPr>
              <w:t>$26/hp</w:t>
            </w:r>
          </w:p>
        </w:tc>
        <w:tc>
          <w:tcPr>
            <w:tcW w:w="610" w:type="pct"/>
            <w:shd w:val="clear" w:color="auto" w:fill="D9D9D9"/>
            <w:vAlign w:val="center"/>
          </w:tcPr>
          <w:p w:rsidR="00324867" w:rsidRPr="006059DD" w:rsidRDefault="00324867" w:rsidP="00042297">
            <w:pPr>
              <w:keepNext/>
              <w:jc w:val="center"/>
              <w:rPr>
                <w:sz w:val="18"/>
              </w:rPr>
            </w:pPr>
            <w:r w:rsidRPr="006059DD">
              <w:rPr>
                <w:sz w:val="18"/>
              </w:rPr>
              <w:t>$189/hp</w:t>
            </w:r>
          </w:p>
        </w:tc>
      </w:tr>
      <w:tr w:rsidR="006059DD" w:rsidRPr="006059DD" w:rsidTr="0019278B">
        <w:trPr>
          <w:jc w:val="center"/>
        </w:trPr>
        <w:tc>
          <w:tcPr>
            <w:tcW w:w="443" w:type="pct"/>
            <w:shd w:val="clear" w:color="auto" w:fill="BFBFBF"/>
            <w:vAlign w:val="center"/>
          </w:tcPr>
          <w:p w:rsidR="00324867" w:rsidRPr="006059DD" w:rsidRDefault="00324867" w:rsidP="00113FA6">
            <w:pPr>
              <w:keepNext/>
              <w:jc w:val="center"/>
              <w:rPr>
                <w:sz w:val="18"/>
              </w:rPr>
            </w:pPr>
            <w:r w:rsidRPr="006059DD">
              <w:rPr>
                <w:sz w:val="18"/>
              </w:rPr>
              <w:t>AG</w:t>
            </w:r>
          </w:p>
        </w:tc>
        <w:tc>
          <w:tcPr>
            <w:tcW w:w="443" w:type="pct"/>
            <w:shd w:val="clear" w:color="auto" w:fill="BFBFBF"/>
            <w:vAlign w:val="center"/>
          </w:tcPr>
          <w:p w:rsidR="00324867" w:rsidRPr="006059DD" w:rsidRDefault="00324867" w:rsidP="00113FA6">
            <w:pPr>
              <w:keepNext/>
              <w:jc w:val="center"/>
              <w:rPr>
                <w:sz w:val="18"/>
              </w:rPr>
            </w:pPr>
            <w:r w:rsidRPr="006059DD">
              <w:rPr>
                <w:sz w:val="18"/>
              </w:rPr>
              <w:t>Booster</w:t>
            </w:r>
          </w:p>
        </w:tc>
        <w:tc>
          <w:tcPr>
            <w:tcW w:w="544" w:type="pct"/>
            <w:shd w:val="clear" w:color="auto" w:fill="BFBFBF"/>
            <w:vAlign w:val="center"/>
          </w:tcPr>
          <w:p w:rsidR="00324867" w:rsidRPr="006059DD" w:rsidRDefault="00324867" w:rsidP="00113FA6">
            <w:pPr>
              <w:jc w:val="center"/>
            </w:pPr>
            <w:r w:rsidRPr="006059DD">
              <w:t>IR007</w:t>
            </w:r>
          </w:p>
        </w:tc>
        <w:tc>
          <w:tcPr>
            <w:tcW w:w="1795" w:type="pct"/>
            <w:shd w:val="clear" w:color="auto" w:fill="BFBFBF"/>
            <w:vAlign w:val="center"/>
          </w:tcPr>
          <w:p w:rsidR="00324867" w:rsidRPr="006059DD" w:rsidRDefault="00324867" w:rsidP="004A4876">
            <w:pPr>
              <w:rPr>
                <w:sz w:val="18"/>
              </w:rPr>
            </w:pPr>
            <w:r w:rsidRPr="006059DD">
              <w:rPr>
                <w:sz w:val="18"/>
              </w:rPr>
              <w:t>VFD ON AG BOOSTER PUMPS (&lt;=150HP)</w:t>
            </w:r>
            <w:r w:rsidR="0019278B" w:rsidRPr="006059DD">
              <w:rPr>
                <w:sz w:val="18"/>
              </w:rPr>
              <w:t xml:space="preserve"> </w:t>
            </w:r>
          </w:p>
        </w:tc>
        <w:tc>
          <w:tcPr>
            <w:tcW w:w="606" w:type="pct"/>
            <w:shd w:val="clear" w:color="auto" w:fill="BFBFBF"/>
            <w:vAlign w:val="center"/>
          </w:tcPr>
          <w:p w:rsidR="00324867" w:rsidRPr="006059DD" w:rsidRDefault="00324867" w:rsidP="00042297">
            <w:pPr>
              <w:keepNext/>
              <w:jc w:val="center"/>
              <w:rPr>
                <w:sz w:val="18"/>
              </w:rPr>
            </w:pPr>
            <w:r w:rsidRPr="006059DD">
              <w:rPr>
                <w:sz w:val="18"/>
              </w:rPr>
              <w:t>$171/hp</w:t>
            </w:r>
          </w:p>
        </w:tc>
        <w:tc>
          <w:tcPr>
            <w:tcW w:w="559" w:type="pct"/>
            <w:shd w:val="clear" w:color="auto" w:fill="BFBFBF"/>
            <w:vAlign w:val="center"/>
          </w:tcPr>
          <w:p w:rsidR="00324867" w:rsidRPr="006059DD" w:rsidRDefault="00324867" w:rsidP="00042297">
            <w:pPr>
              <w:keepNext/>
              <w:jc w:val="center"/>
              <w:rPr>
                <w:sz w:val="18"/>
              </w:rPr>
            </w:pPr>
            <w:r w:rsidRPr="006059DD">
              <w:rPr>
                <w:sz w:val="18"/>
              </w:rPr>
              <w:t>$30/hp</w:t>
            </w:r>
          </w:p>
        </w:tc>
        <w:tc>
          <w:tcPr>
            <w:tcW w:w="610" w:type="pct"/>
            <w:shd w:val="clear" w:color="auto" w:fill="BFBFBF"/>
            <w:vAlign w:val="center"/>
          </w:tcPr>
          <w:p w:rsidR="00324867" w:rsidRPr="006059DD" w:rsidRDefault="00324867" w:rsidP="00042297">
            <w:pPr>
              <w:keepNext/>
              <w:jc w:val="center"/>
              <w:rPr>
                <w:sz w:val="18"/>
              </w:rPr>
            </w:pPr>
            <w:r w:rsidRPr="006059DD">
              <w:rPr>
                <w:sz w:val="18"/>
              </w:rPr>
              <w:t>$201/hp</w:t>
            </w:r>
          </w:p>
        </w:tc>
      </w:tr>
    </w:tbl>
    <w:p w:rsidR="00A4117E" w:rsidRPr="001A3D8D" w:rsidRDefault="00A4117E" w:rsidP="00E35EAA">
      <w:pPr>
        <w:rPr>
          <w:color w:val="FF0000"/>
        </w:rPr>
      </w:pPr>
    </w:p>
    <w:p w:rsidR="00EE5287" w:rsidRPr="00AB0935" w:rsidRDefault="0030550A" w:rsidP="00AB0935">
      <w:pPr>
        <w:pStyle w:val="Heading2"/>
      </w:pPr>
      <w:bookmarkStart w:id="33" w:name="_Toc447098738"/>
      <w:r w:rsidRPr="00D22EB8">
        <w:t>4.3 Incremental &amp; Full Measure Costs</w:t>
      </w:r>
      <w:bookmarkEnd w:id="33"/>
    </w:p>
    <w:p w:rsidR="00A1737C" w:rsidRDefault="00A1737C" w:rsidP="00A1737C">
      <w:pPr>
        <w:pStyle w:val="Caption"/>
        <w:keepNext/>
        <w:jc w:val="center"/>
      </w:pPr>
    </w:p>
    <w:p w:rsidR="00A1737C" w:rsidRDefault="00A1737C" w:rsidP="00A1737C">
      <w:pPr>
        <w:pStyle w:val="Caption"/>
        <w:keepNext/>
        <w:jc w:val="center"/>
      </w:pPr>
      <w:r>
        <w:t>Table 11 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A1737C" w:rsidRPr="00500C4E" w:rsidTr="00A1737C">
        <w:tc>
          <w:tcPr>
            <w:tcW w:w="671" w:type="pct"/>
            <w:vMerge w:val="restart"/>
            <w:shd w:val="clear" w:color="auto" w:fill="D9D9D9" w:themeFill="background1" w:themeFillShade="D9"/>
          </w:tcPr>
          <w:p w:rsidR="00A1737C" w:rsidRPr="00DE77D0" w:rsidRDefault="00A1737C" w:rsidP="000C4442">
            <w:pPr>
              <w:rPr>
                <w:rFonts w:cstheme="minorHAnsi"/>
                <w:b/>
                <w:highlight w:val="yellow"/>
              </w:rPr>
            </w:pPr>
            <w:r>
              <w:rPr>
                <w:rFonts w:cstheme="minorHAnsi"/>
                <w:b/>
              </w:rPr>
              <w:t>Installation Type</w:t>
            </w:r>
          </w:p>
        </w:tc>
        <w:tc>
          <w:tcPr>
            <w:tcW w:w="1443" w:type="pct"/>
            <w:vMerge w:val="restart"/>
            <w:shd w:val="clear" w:color="auto" w:fill="D9D9D9" w:themeFill="background1" w:themeFillShade="D9"/>
          </w:tcPr>
          <w:p w:rsidR="00A1737C" w:rsidRPr="00DE77D0" w:rsidRDefault="00A1737C" w:rsidP="000C4442">
            <w:pPr>
              <w:rPr>
                <w:rFonts w:cstheme="minorHAnsi"/>
                <w:b/>
              </w:rPr>
            </w:pPr>
            <w:r>
              <w:rPr>
                <w:rFonts w:cstheme="minorHAnsi"/>
                <w:b/>
              </w:rPr>
              <w:t>Incremental Measure Cost</w:t>
            </w:r>
          </w:p>
        </w:tc>
        <w:tc>
          <w:tcPr>
            <w:tcW w:w="2885" w:type="pct"/>
            <w:gridSpan w:val="2"/>
            <w:shd w:val="clear" w:color="auto" w:fill="D9D9D9" w:themeFill="background1" w:themeFillShade="D9"/>
          </w:tcPr>
          <w:p w:rsidR="00A1737C" w:rsidRPr="00DE77D0" w:rsidRDefault="00A1737C" w:rsidP="000C4442">
            <w:pPr>
              <w:rPr>
                <w:rFonts w:cstheme="minorHAnsi"/>
                <w:b/>
                <w:highlight w:val="yellow"/>
              </w:rPr>
            </w:pPr>
            <w:r>
              <w:rPr>
                <w:rFonts w:cstheme="minorHAnsi"/>
                <w:b/>
              </w:rPr>
              <w:t>Full Measure Cost</w:t>
            </w:r>
          </w:p>
        </w:tc>
      </w:tr>
      <w:tr w:rsidR="00A1737C" w:rsidRPr="00500C4E" w:rsidTr="00A1737C">
        <w:tc>
          <w:tcPr>
            <w:tcW w:w="671" w:type="pct"/>
            <w:vMerge/>
            <w:shd w:val="clear" w:color="auto" w:fill="D9D9D9" w:themeFill="background1" w:themeFillShade="D9"/>
          </w:tcPr>
          <w:p w:rsidR="00A1737C" w:rsidRPr="00DE77D0" w:rsidRDefault="00A1737C" w:rsidP="000C4442">
            <w:pPr>
              <w:rPr>
                <w:rFonts w:cstheme="minorHAnsi"/>
                <w:b/>
              </w:rPr>
            </w:pPr>
          </w:p>
        </w:tc>
        <w:tc>
          <w:tcPr>
            <w:tcW w:w="1443" w:type="pct"/>
            <w:vMerge/>
            <w:shd w:val="clear" w:color="auto" w:fill="D9D9D9" w:themeFill="background1" w:themeFillShade="D9"/>
          </w:tcPr>
          <w:p w:rsidR="00A1737C" w:rsidRPr="00DE77D0" w:rsidRDefault="00A1737C" w:rsidP="000C4442">
            <w:pPr>
              <w:rPr>
                <w:rFonts w:cstheme="minorHAnsi"/>
                <w:b/>
              </w:rPr>
            </w:pPr>
          </w:p>
        </w:tc>
        <w:tc>
          <w:tcPr>
            <w:tcW w:w="1396" w:type="pct"/>
            <w:shd w:val="clear" w:color="auto" w:fill="F2F2F2" w:themeFill="background1" w:themeFillShade="F2"/>
          </w:tcPr>
          <w:p w:rsidR="00A1737C" w:rsidRPr="00DE77D0" w:rsidRDefault="00A1737C" w:rsidP="000C4442">
            <w:pPr>
              <w:rPr>
                <w:rFonts w:cstheme="minorHAnsi"/>
                <w:b/>
              </w:rPr>
            </w:pPr>
            <w:r>
              <w:rPr>
                <w:rFonts w:cstheme="minorHAnsi"/>
                <w:b/>
              </w:rPr>
              <w:t>1</w:t>
            </w:r>
            <w:r w:rsidRPr="00920905">
              <w:rPr>
                <w:rFonts w:cstheme="minorHAnsi"/>
                <w:b/>
                <w:vertAlign w:val="superscript"/>
              </w:rPr>
              <w:t>st</w:t>
            </w:r>
            <w:r>
              <w:rPr>
                <w:rFonts w:cstheme="minorHAnsi"/>
                <w:b/>
              </w:rPr>
              <w:t xml:space="preserve"> Baseline</w:t>
            </w:r>
          </w:p>
        </w:tc>
        <w:tc>
          <w:tcPr>
            <w:tcW w:w="1489" w:type="pct"/>
            <w:shd w:val="clear" w:color="auto" w:fill="F2F2F2" w:themeFill="background1" w:themeFillShade="F2"/>
          </w:tcPr>
          <w:p w:rsidR="00A1737C" w:rsidRPr="00DE77D0" w:rsidRDefault="00A1737C" w:rsidP="000C4442">
            <w:pPr>
              <w:rPr>
                <w:rFonts w:cstheme="minorHAnsi"/>
                <w:b/>
              </w:rPr>
            </w:pPr>
            <w:r>
              <w:rPr>
                <w:rFonts w:cstheme="minorHAnsi"/>
                <w:b/>
              </w:rPr>
              <w:t>2</w:t>
            </w:r>
            <w:r w:rsidRPr="00920905">
              <w:rPr>
                <w:rFonts w:cstheme="minorHAnsi"/>
                <w:b/>
                <w:vertAlign w:val="superscript"/>
              </w:rPr>
              <w:t>nd</w:t>
            </w:r>
            <w:r>
              <w:rPr>
                <w:rFonts w:cstheme="minorHAnsi"/>
                <w:b/>
              </w:rPr>
              <w:t xml:space="preserve"> Baseline</w:t>
            </w:r>
          </w:p>
        </w:tc>
      </w:tr>
      <w:tr w:rsidR="00A1737C" w:rsidRPr="00500C4E" w:rsidTr="00A1737C">
        <w:tc>
          <w:tcPr>
            <w:tcW w:w="671" w:type="pct"/>
          </w:tcPr>
          <w:p w:rsidR="00A1737C" w:rsidRPr="00920905" w:rsidRDefault="00A1737C" w:rsidP="000C4442">
            <w:pPr>
              <w:rPr>
                <w:rFonts w:cstheme="minorHAnsi"/>
              </w:rPr>
            </w:pPr>
            <w:r>
              <w:rPr>
                <w:rFonts w:cstheme="minorHAnsi"/>
              </w:rPr>
              <w:t>ROB</w:t>
            </w:r>
          </w:p>
        </w:tc>
        <w:tc>
          <w:tcPr>
            <w:tcW w:w="1443" w:type="pct"/>
            <w:vMerge w:val="restart"/>
          </w:tcPr>
          <w:p w:rsidR="00A1737C" w:rsidRPr="00920905" w:rsidRDefault="00A1737C" w:rsidP="000C4442">
            <w:pPr>
              <w:rPr>
                <w:rFonts w:cstheme="minorHAnsi"/>
              </w:rPr>
            </w:pPr>
            <w:r>
              <w:rPr>
                <w:rFonts w:cstheme="minorHAnsi"/>
              </w:rPr>
              <w:t>(MEC + MLC) – (BEC + BLC)</w:t>
            </w:r>
          </w:p>
        </w:tc>
        <w:tc>
          <w:tcPr>
            <w:tcW w:w="1396" w:type="pct"/>
            <w:vMerge w:val="restart"/>
          </w:tcPr>
          <w:p w:rsidR="00A1737C" w:rsidRPr="00920905" w:rsidRDefault="00A1737C" w:rsidP="000C4442">
            <w:pPr>
              <w:rPr>
                <w:rFonts w:cstheme="minorHAnsi"/>
              </w:rPr>
            </w:pPr>
            <w:r>
              <w:rPr>
                <w:rFonts w:cstheme="minorHAnsi"/>
              </w:rPr>
              <w:t>(MEC + MLC) – (BEC + BLC)</w:t>
            </w:r>
          </w:p>
        </w:tc>
        <w:tc>
          <w:tcPr>
            <w:tcW w:w="1489" w:type="pct"/>
            <w:vMerge w:val="restart"/>
          </w:tcPr>
          <w:p w:rsidR="00A1737C" w:rsidRPr="00920905" w:rsidRDefault="00A1737C" w:rsidP="000C4442">
            <w:pPr>
              <w:rPr>
                <w:rFonts w:cstheme="minorHAnsi"/>
              </w:rPr>
            </w:pPr>
            <w:r>
              <w:rPr>
                <w:rFonts w:cstheme="minorHAnsi"/>
              </w:rPr>
              <w:t>N/A</w:t>
            </w:r>
          </w:p>
        </w:tc>
      </w:tr>
      <w:tr w:rsidR="00A1737C" w:rsidRPr="00500C4E" w:rsidTr="00A1737C">
        <w:tc>
          <w:tcPr>
            <w:tcW w:w="671" w:type="pct"/>
          </w:tcPr>
          <w:p w:rsidR="00A1737C" w:rsidRPr="00920905" w:rsidRDefault="00A1737C" w:rsidP="000C4442">
            <w:pPr>
              <w:rPr>
                <w:rFonts w:cstheme="minorHAnsi"/>
              </w:rPr>
            </w:pPr>
            <w:r>
              <w:rPr>
                <w:rFonts w:cstheme="minorHAnsi"/>
              </w:rPr>
              <w:t>NEW/NC</w:t>
            </w:r>
          </w:p>
        </w:tc>
        <w:tc>
          <w:tcPr>
            <w:tcW w:w="1443" w:type="pct"/>
            <w:vMerge/>
          </w:tcPr>
          <w:p w:rsidR="00A1737C" w:rsidRPr="00920905" w:rsidRDefault="00A1737C" w:rsidP="000C4442">
            <w:pPr>
              <w:rPr>
                <w:rFonts w:cstheme="minorHAnsi"/>
              </w:rPr>
            </w:pPr>
          </w:p>
        </w:tc>
        <w:tc>
          <w:tcPr>
            <w:tcW w:w="1396" w:type="pct"/>
            <w:vMerge/>
          </w:tcPr>
          <w:p w:rsidR="00A1737C" w:rsidRPr="00920905" w:rsidRDefault="00A1737C" w:rsidP="000C4442">
            <w:pPr>
              <w:rPr>
                <w:rFonts w:cstheme="minorHAnsi"/>
              </w:rPr>
            </w:pPr>
          </w:p>
        </w:tc>
        <w:tc>
          <w:tcPr>
            <w:tcW w:w="1489" w:type="pct"/>
            <w:vMerge/>
          </w:tcPr>
          <w:p w:rsidR="00A1737C" w:rsidRPr="00920905" w:rsidRDefault="00A1737C" w:rsidP="000C4442">
            <w:pPr>
              <w:rPr>
                <w:rFonts w:cstheme="minorHAnsi"/>
              </w:rPr>
            </w:pPr>
          </w:p>
        </w:tc>
      </w:tr>
      <w:tr w:rsidR="00A1737C" w:rsidRPr="00500C4E" w:rsidTr="00A1737C">
        <w:tc>
          <w:tcPr>
            <w:tcW w:w="671" w:type="pct"/>
          </w:tcPr>
          <w:p w:rsidR="00A1737C" w:rsidRPr="00920905" w:rsidRDefault="00A1737C" w:rsidP="000C4442">
            <w:pPr>
              <w:rPr>
                <w:rFonts w:cstheme="minorHAnsi"/>
              </w:rPr>
            </w:pPr>
            <w:r>
              <w:rPr>
                <w:rFonts w:cstheme="minorHAnsi"/>
              </w:rPr>
              <w:t>RET/ER</w:t>
            </w:r>
          </w:p>
        </w:tc>
        <w:tc>
          <w:tcPr>
            <w:tcW w:w="1443" w:type="pct"/>
          </w:tcPr>
          <w:p w:rsidR="00A1737C" w:rsidRPr="00920905" w:rsidRDefault="00A1737C" w:rsidP="000C4442">
            <w:pPr>
              <w:rPr>
                <w:rFonts w:cstheme="minorHAnsi"/>
              </w:rPr>
            </w:pPr>
            <w:r>
              <w:rPr>
                <w:rFonts w:cstheme="minorHAnsi"/>
              </w:rPr>
              <w:t>(MEC + MLC) – (BEC + BLC)</w:t>
            </w:r>
          </w:p>
        </w:tc>
        <w:tc>
          <w:tcPr>
            <w:tcW w:w="1396" w:type="pct"/>
          </w:tcPr>
          <w:p w:rsidR="00A1737C" w:rsidRPr="00920905" w:rsidRDefault="00A1737C" w:rsidP="000C4442">
            <w:pPr>
              <w:rPr>
                <w:rFonts w:cstheme="minorHAnsi"/>
              </w:rPr>
            </w:pPr>
            <w:r>
              <w:rPr>
                <w:rFonts w:cstheme="minorHAnsi"/>
              </w:rPr>
              <w:t>MEC + MLC</w:t>
            </w:r>
          </w:p>
        </w:tc>
        <w:tc>
          <w:tcPr>
            <w:tcW w:w="1489" w:type="pct"/>
          </w:tcPr>
          <w:p w:rsidR="00A1737C" w:rsidRPr="00920905" w:rsidRDefault="00A1737C" w:rsidP="000C4442">
            <w:pPr>
              <w:rPr>
                <w:rFonts w:cstheme="minorHAnsi"/>
              </w:rPr>
            </w:pPr>
            <w:r>
              <w:rPr>
                <w:rFonts w:cstheme="minorHAnsi"/>
              </w:rPr>
              <w:t>(MEC + MLC) – (BEC + BLC)</w:t>
            </w:r>
          </w:p>
        </w:tc>
      </w:tr>
      <w:tr w:rsidR="00A1737C" w:rsidRPr="00500C4E" w:rsidTr="00A1737C">
        <w:tc>
          <w:tcPr>
            <w:tcW w:w="671" w:type="pct"/>
          </w:tcPr>
          <w:p w:rsidR="00A1737C" w:rsidRPr="00DE77D0" w:rsidRDefault="00A1737C" w:rsidP="000C4442">
            <w:pPr>
              <w:rPr>
                <w:rFonts w:cstheme="minorHAnsi"/>
              </w:rPr>
            </w:pPr>
            <w:r>
              <w:rPr>
                <w:rFonts w:cstheme="minorHAnsi"/>
              </w:rPr>
              <w:t>REF</w:t>
            </w:r>
          </w:p>
        </w:tc>
        <w:tc>
          <w:tcPr>
            <w:tcW w:w="1443" w:type="pct"/>
          </w:tcPr>
          <w:p w:rsidR="00A1737C" w:rsidRPr="00DE77D0" w:rsidRDefault="00A1737C" w:rsidP="000C4442">
            <w:pPr>
              <w:rPr>
                <w:rFonts w:cstheme="minorHAnsi"/>
              </w:rPr>
            </w:pPr>
            <w:r>
              <w:rPr>
                <w:rFonts w:cstheme="minorHAnsi"/>
              </w:rPr>
              <w:t>(MEC + MLC) – (BEC + BLC)</w:t>
            </w:r>
          </w:p>
        </w:tc>
        <w:tc>
          <w:tcPr>
            <w:tcW w:w="1396" w:type="pct"/>
          </w:tcPr>
          <w:p w:rsidR="00A1737C" w:rsidRPr="00DE77D0" w:rsidRDefault="00A1737C" w:rsidP="000C4442">
            <w:pPr>
              <w:rPr>
                <w:rFonts w:cstheme="minorHAnsi"/>
              </w:rPr>
            </w:pPr>
            <w:r>
              <w:rPr>
                <w:rFonts w:cstheme="minorHAnsi"/>
              </w:rPr>
              <w:t>MEC + MLC</w:t>
            </w:r>
          </w:p>
        </w:tc>
        <w:tc>
          <w:tcPr>
            <w:tcW w:w="1489" w:type="pct"/>
          </w:tcPr>
          <w:p w:rsidR="00A1737C" w:rsidRPr="00DE77D0" w:rsidRDefault="00A1737C" w:rsidP="000C4442">
            <w:pPr>
              <w:rPr>
                <w:rFonts w:cstheme="minorHAnsi"/>
              </w:rPr>
            </w:pPr>
            <w:r>
              <w:rPr>
                <w:rFonts w:cstheme="minorHAnsi"/>
              </w:rPr>
              <w:t>N/A</w:t>
            </w:r>
          </w:p>
        </w:tc>
      </w:tr>
      <w:tr w:rsidR="00A1737C" w:rsidRPr="00500C4E" w:rsidTr="00A1737C">
        <w:tc>
          <w:tcPr>
            <w:tcW w:w="671" w:type="pct"/>
          </w:tcPr>
          <w:p w:rsidR="00A1737C" w:rsidRPr="00920905" w:rsidRDefault="00A1737C" w:rsidP="000C4442">
            <w:pPr>
              <w:rPr>
                <w:rFonts w:cstheme="minorHAnsi"/>
              </w:rPr>
            </w:pPr>
            <w:r>
              <w:rPr>
                <w:rFonts w:cstheme="minorHAnsi"/>
              </w:rPr>
              <w:t>REA</w:t>
            </w:r>
          </w:p>
        </w:tc>
        <w:tc>
          <w:tcPr>
            <w:tcW w:w="1443" w:type="pct"/>
          </w:tcPr>
          <w:p w:rsidR="00A1737C" w:rsidRPr="00920905" w:rsidRDefault="00A1737C" w:rsidP="000C4442">
            <w:pPr>
              <w:rPr>
                <w:rFonts w:cstheme="minorHAnsi"/>
              </w:rPr>
            </w:pPr>
            <w:r>
              <w:rPr>
                <w:rFonts w:cstheme="minorHAnsi"/>
              </w:rPr>
              <w:t>MEC + MLC</w:t>
            </w:r>
          </w:p>
        </w:tc>
        <w:tc>
          <w:tcPr>
            <w:tcW w:w="1396" w:type="pct"/>
          </w:tcPr>
          <w:p w:rsidR="00A1737C" w:rsidRPr="00920905" w:rsidRDefault="00A1737C" w:rsidP="000C4442">
            <w:pPr>
              <w:rPr>
                <w:rFonts w:cstheme="minorHAnsi"/>
              </w:rPr>
            </w:pPr>
            <w:r>
              <w:rPr>
                <w:rFonts w:cstheme="minorHAnsi"/>
              </w:rPr>
              <w:t>MEC + MLC</w:t>
            </w:r>
          </w:p>
        </w:tc>
        <w:tc>
          <w:tcPr>
            <w:tcW w:w="1489" w:type="pct"/>
          </w:tcPr>
          <w:p w:rsidR="00A1737C" w:rsidRPr="00920905" w:rsidRDefault="00A1737C" w:rsidP="000C4442">
            <w:pPr>
              <w:rPr>
                <w:rFonts w:cstheme="minorHAnsi"/>
              </w:rPr>
            </w:pPr>
            <w:r>
              <w:rPr>
                <w:rFonts w:cstheme="minorHAnsi"/>
              </w:rPr>
              <w:t>N/A</w:t>
            </w:r>
          </w:p>
        </w:tc>
      </w:tr>
    </w:tbl>
    <w:p w:rsidR="00A1737C" w:rsidRPr="00920905" w:rsidRDefault="00A1737C" w:rsidP="00A1737C">
      <w:r w:rsidRPr="00920905">
        <w:t>MEC = Measure Equipment Cost; MLC = Measure Labor Cost</w:t>
      </w:r>
    </w:p>
    <w:p w:rsidR="00A1737C" w:rsidRPr="00920905" w:rsidRDefault="00A1737C" w:rsidP="00A1737C">
      <w:r w:rsidRPr="00920905">
        <w:t>BEC = Base Case Equipment Cost; BLC = Base Case Labor Cost</w:t>
      </w:r>
    </w:p>
    <w:p w:rsidR="00A1737C" w:rsidRDefault="00A1737C" w:rsidP="00ED262E">
      <w:pPr>
        <w:jc w:val="both"/>
      </w:pPr>
    </w:p>
    <w:p w:rsidR="006F27AD" w:rsidRPr="006059DD" w:rsidRDefault="006F27AD" w:rsidP="00ED262E">
      <w:pPr>
        <w:jc w:val="both"/>
      </w:pPr>
      <w:r w:rsidRPr="006059DD">
        <w:t>The costs for pumps in the eligible horsepower ranges shown in Table-1 were averaged and the resulting cost for each pump type is given in Table 1</w:t>
      </w:r>
      <w:r>
        <w:t>1</w:t>
      </w:r>
      <w:r w:rsidRPr="006059DD">
        <w:t xml:space="preserve"> </w:t>
      </w:r>
      <w:r w:rsidR="00D22EB8">
        <w:t>on the following page</w:t>
      </w:r>
      <w:r w:rsidRPr="006059DD">
        <w:t>.</w:t>
      </w:r>
    </w:p>
    <w:p w:rsidR="00AB0935" w:rsidRDefault="00AB0935" w:rsidP="004B44F4">
      <w:pPr>
        <w:pStyle w:val="Caption"/>
        <w:keepNext/>
        <w:jc w:val="center"/>
        <w:rPr>
          <w:sz w:val="16"/>
        </w:rPr>
      </w:pPr>
    </w:p>
    <w:p w:rsidR="004B44F4" w:rsidRPr="006059DD" w:rsidRDefault="004B44F4" w:rsidP="004B44F4">
      <w:pPr>
        <w:pStyle w:val="Caption"/>
        <w:keepNext/>
        <w:jc w:val="center"/>
        <w:rPr>
          <w:szCs w:val="24"/>
        </w:rPr>
      </w:pPr>
      <w:r w:rsidRPr="006059DD">
        <w:rPr>
          <w:sz w:val="16"/>
        </w:rPr>
        <w:t xml:space="preserve">  </w:t>
      </w:r>
      <w:r w:rsidRPr="006059DD">
        <w:rPr>
          <w:szCs w:val="24"/>
        </w:rPr>
        <w:t>Table 1</w:t>
      </w:r>
      <w:r>
        <w:rPr>
          <w:szCs w:val="24"/>
        </w:rPr>
        <w:t>1</w:t>
      </w:r>
      <w:r w:rsidR="006F27AD">
        <w:rPr>
          <w:szCs w:val="24"/>
        </w:rPr>
        <w:t xml:space="preserve"> Incremental and Full</w:t>
      </w:r>
      <w:r w:rsidRPr="006059DD">
        <w:rPr>
          <w:szCs w:val="24"/>
        </w:rPr>
        <w:t xml:space="preserve"> Measure Cost</w:t>
      </w:r>
      <w:r w:rsidR="006F27AD">
        <w:rPr>
          <w:szCs w:val="24"/>
        </w:rPr>
        <w:t>s</w:t>
      </w:r>
      <w:r w:rsidRPr="006059DD">
        <w:rPr>
          <w:szCs w:val="24"/>
        </w:rPr>
        <w:t xml:space="preserve"> </w:t>
      </w:r>
    </w:p>
    <w:tbl>
      <w:tblPr>
        <w:tblW w:w="4944"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left w:w="72" w:type="dxa"/>
          <w:right w:w="72" w:type="dxa"/>
        </w:tblCellMar>
        <w:tblLook w:val="01E0" w:firstRow="1" w:lastRow="1" w:firstColumn="1" w:lastColumn="1" w:noHBand="0" w:noVBand="0"/>
      </w:tblPr>
      <w:tblGrid>
        <w:gridCol w:w="790"/>
        <w:gridCol w:w="831"/>
        <w:gridCol w:w="1021"/>
        <w:gridCol w:w="2147"/>
        <w:gridCol w:w="1111"/>
        <w:gridCol w:w="1047"/>
        <w:gridCol w:w="992"/>
        <w:gridCol w:w="1459"/>
      </w:tblGrid>
      <w:tr w:rsidR="00D22EB8" w:rsidRPr="006059DD" w:rsidTr="00064F46">
        <w:trPr>
          <w:jc w:val="center"/>
        </w:trPr>
        <w:tc>
          <w:tcPr>
            <w:tcW w:w="420" w:type="pct"/>
            <w:shd w:val="clear" w:color="auto" w:fill="BFBFBF"/>
            <w:vAlign w:val="center"/>
          </w:tcPr>
          <w:p w:rsidR="00D22EB8" w:rsidRPr="006059DD" w:rsidRDefault="00D22EB8" w:rsidP="000F1160">
            <w:pPr>
              <w:keepNext/>
              <w:jc w:val="center"/>
              <w:rPr>
                <w:b/>
                <w:sz w:val="18"/>
              </w:rPr>
            </w:pPr>
            <w:r w:rsidRPr="006059DD">
              <w:rPr>
                <w:b/>
                <w:sz w:val="18"/>
              </w:rPr>
              <w:t>Market</w:t>
            </w:r>
          </w:p>
        </w:tc>
        <w:tc>
          <w:tcPr>
            <w:tcW w:w="442" w:type="pct"/>
            <w:shd w:val="clear" w:color="auto" w:fill="BFBFBF"/>
            <w:vAlign w:val="center"/>
          </w:tcPr>
          <w:p w:rsidR="00D22EB8" w:rsidRPr="006059DD" w:rsidRDefault="00D22EB8" w:rsidP="000F1160">
            <w:pPr>
              <w:keepNext/>
              <w:jc w:val="center"/>
              <w:rPr>
                <w:b/>
                <w:sz w:val="18"/>
              </w:rPr>
            </w:pPr>
            <w:r w:rsidRPr="006059DD">
              <w:rPr>
                <w:b/>
                <w:sz w:val="18"/>
              </w:rPr>
              <w:t>Pump Type</w:t>
            </w:r>
          </w:p>
        </w:tc>
        <w:tc>
          <w:tcPr>
            <w:tcW w:w="543" w:type="pct"/>
            <w:shd w:val="clear" w:color="auto" w:fill="BFBFBF"/>
            <w:vAlign w:val="center"/>
          </w:tcPr>
          <w:p w:rsidR="00D22EB8" w:rsidRPr="006059DD" w:rsidRDefault="00D22EB8" w:rsidP="000F1160">
            <w:pPr>
              <w:jc w:val="center"/>
              <w:rPr>
                <w:b/>
                <w:bCs/>
              </w:rPr>
            </w:pPr>
            <w:r w:rsidRPr="006059DD">
              <w:rPr>
                <w:b/>
                <w:bCs/>
              </w:rPr>
              <w:t>Measure Code</w:t>
            </w:r>
          </w:p>
        </w:tc>
        <w:tc>
          <w:tcPr>
            <w:tcW w:w="1142" w:type="pct"/>
            <w:shd w:val="clear" w:color="auto" w:fill="BFBFBF"/>
            <w:vAlign w:val="center"/>
          </w:tcPr>
          <w:p w:rsidR="00D22EB8" w:rsidRPr="006059DD" w:rsidRDefault="00D22EB8" w:rsidP="000F1160">
            <w:pPr>
              <w:keepNext/>
              <w:jc w:val="center"/>
              <w:rPr>
                <w:b/>
                <w:sz w:val="18"/>
              </w:rPr>
            </w:pPr>
            <w:r w:rsidRPr="006059DD">
              <w:rPr>
                <w:b/>
                <w:sz w:val="18"/>
              </w:rPr>
              <w:t>Measure</w:t>
            </w:r>
          </w:p>
        </w:tc>
        <w:tc>
          <w:tcPr>
            <w:tcW w:w="591" w:type="pct"/>
            <w:shd w:val="clear" w:color="auto" w:fill="BFBFBF"/>
            <w:vAlign w:val="center"/>
          </w:tcPr>
          <w:p w:rsidR="00D22EB8" w:rsidRPr="006059DD" w:rsidRDefault="00D22EB8" w:rsidP="000F1160">
            <w:pPr>
              <w:keepNext/>
              <w:jc w:val="center"/>
              <w:rPr>
                <w:b/>
                <w:sz w:val="18"/>
              </w:rPr>
            </w:pPr>
            <w:r>
              <w:rPr>
                <w:b/>
                <w:sz w:val="18"/>
              </w:rPr>
              <w:t xml:space="preserve">Base </w:t>
            </w:r>
            <w:r w:rsidRPr="006059DD">
              <w:rPr>
                <w:b/>
                <w:sz w:val="18"/>
              </w:rPr>
              <w:t>Cost/hp</w:t>
            </w:r>
          </w:p>
        </w:tc>
        <w:tc>
          <w:tcPr>
            <w:tcW w:w="557" w:type="pct"/>
            <w:shd w:val="clear" w:color="auto" w:fill="BFBFBF"/>
            <w:vAlign w:val="center"/>
          </w:tcPr>
          <w:p w:rsidR="00D22EB8" w:rsidRPr="006059DD" w:rsidRDefault="00D22EB8" w:rsidP="000F1160">
            <w:pPr>
              <w:keepNext/>
              <w:jc w:val="center"/>
              <w:rPr>
                <w:b/>
                <w:sz w:val="18"/>
              </w:rPr>
            </w:pPr>
            <w:r w:rsidRPr="006059DD">
              <w:rPr>
                <w:b/>
                <w:sz w:val="18"/>
              </w:rPr>
              <w:t>Material Cost/hp</w:t>
            </w:r>
          </w:p>
        </w:tc>
        <w:tc>
          <w:tcPr>
            <w:tcW w:w="528" w:type="pct"/>
            <w:shd w:val="clear" w:color="auto" w:fill="BFBFBF"/>
            <w:vAlign w:val="center"/>
          </w:tcPr>
          <w:p w:rsidR="00D22EB8" w:rsidRPr="006059DD" w:rsidRDefault="00D22EB8" w:rsidP="000F1160">
            <w:pPr>
              <w:keepNext/>
              <w:jc w:val="center"/>
              <w:rPr>
                <w:b/>
                <w:sz w:val="18"/>
              </w:rPr>
            </w:pPr>
            <w:r w:rsidRPr="006059DD">
              <w:rPr>
                <w:b/>
                <w:sz w:val="18"/>
              </w:rPr>
              <w:t>Labor Cost/hp</w:t>
            </w:r>
          </w:p>
        </w:tc>
        <w:tc>
          <w:tcPr>
            <w:tcW w:w="776" w:type="pct"/>
            <w:shd w:val="clear" w:color="auto" w:fill="BFBFBF"/>
            <w:vAlign w:val="center"/>
          </w:tcPr>
          <w:p w:rsidR="00D22EB8" w:rsidRPr="006059DD" w:rsidRDefault="00D22EB8" w:rsidP="000F1160">
            <w:pPr>
              <w:keepNext/>
              <w:jc w:val="center"/>
              <w:rPr>
                <w:b/>
                <w:sz w:val="18"/>
              </w:rPr>
            </w:pPr>
            <w:r>
              <w:rPr>
                <w:b/>
                <w:sz w:val="18"/>
              </w:rPr>
              <w:t xml:space="preserve">Incremental/ </w:t>
            </w:r>
            <w:r w:rsidRPr="006059DD">
              <w:rPr>
                <w:b/>
                <w:sz w:val="18"/>
              </w:rPr>
              <w:t>Full Measure Cost/hp</w:t>
            </w:r>
          </w:p>
        </w:tc>
      </w:tr>
      <w:tr w:rsidR="00D22EB8" w:rsidRPr="006059DD" w:rsidTr="00064F46">
        <w:trPr>
          <w:jc w:val="center"/>
        </w:trPr>
        <w:tc>
          <w:tcPr>
            <w:tcW w:w="420" w:type="pct"/>
            <w:shd w:val="clear" w:color="auto" w:fill="D9D9D9"/>
            <w:vAlign w:val="center"/>
          </w:tcPr>
          <w:p w:rsidR="00D22EB8" w:rsidRPr="006059DD" w:rsidRDefault="00D22EB8" w:rsidP="000F1160">
            <w:pPr>
              <w:keepNext/>
              <w:jc w:val="center"/>
              <w:rPr>
                <w:sz w:val="18"/>
              </w:rPr>
            </w:pPr>
            <w:r w:rsidRPr="006059DD">
              <w:rPr>
                <w:sz w:val="18"/>
              </w:rPr>
              <w:t>AG</w:t>
            </w:r>
          </w:p>
        </w:tc>
        <w:tc>
          <w:tcPr>
            <w:tcW w:w="442" w:type="pct"/>
            <w:shd w:val="clear" w:color="auto" w:fill="D9D9D9"/>
            <w:vAlign w:val="center"/>
          </w:tcPr>
          <w:p w:rsidR="00D22EB8" w:rsidRPr="006059DD" w:rsidRDefault="00D22EB8" w:rsidP="000F1160">
            <w:pPr>
              <w:keepNext/>
              <w:jc w:val="center"/>
              <w:rPr>
                <w:sz w:val="18"/>
              </w:rPr>
            </w:pPr>
            <w:r w:rsidRPr="006059DD">
              <w:rPr>
                <w:sz w:val="18"/>
              </w:rPr>
              <w:t>Well</w:t>
            </w:r>
          </w:p>
        </w:tc>
        <w:tc>
          <w:tcPr>
            <w:tcW w:w="543" w:type="pct"/>
            <w:shd w:val="clear" w:color="auto" w:fill="D9D9D9"/>
            <w:vAlign w:val="center"/>
          </w:tcPr>
          <w:p w:rsidR="00D22EB8" w:rsidRPr="00D22EB8" w:rsidRDefault="00D22EB8" w:rsidP="000F1160">
            <w:pPr>
              <w:jc w:val="center"/>
              <w:rPr>
                <w:sz w:val="18"/>
              </w:rPr>
            </w:pPr>
            <w:r w:rsidRPr="00D22EB8">
              <w:rPr>
                <w:sz w:val="18"/>
              </w:rPr>
              <w:t>IR006</w:t>
            </w:r>
          </w:p>
        </w:tc>
        <w:tc>
          <w:tcPr>
            <w:tcW w:w="1142" w:type="pct"/>
            <w:shd w:val="clear" w:color="auto" w:fill="D9D9D9"/>
            <w:vAlign w:val="center"/>
          </w:tcPr>
          <w:p w:rsidR="00D22EB8" w:rsidRPr="006059DD" w:rsidRDefault="00D22EB8" w:rsidP="000F1160">
            <w:pPr>
              <w:rPr>
                <w:sz w:val="18"/>
              </w:rPr>
            </w:pPr>
            <w:r w:rsidRPr="006059DD">
              <w:rPr>
                <w:sz w:val="18"/>
              </w:rPr>
              <w:t>VFD ON AG WELL PUMPS (&lt;=300HP)</w:t>
            </w:r>
          </w:p>
        </w:tc>
        <w:tc>
          <w:tcPr>
            <w:tcW w:w="591" w:type="pct"/>
            <w:shd w:val="clear" w:color="auto" w:fill="D9D9D9"/>
            <w:vAlign w:val="center"/>
          </w:tcPr>
          <w:p w:rsidR="00D22EB8" w:rsidRDefault="00D22EB8" w:rsidP="00D22EB8">
            <w:pPr>
              <w:keepNext/>
              <w:jc w:val="center"/>
              <w:rPr>
                <w:sz w:val="18"/>
              </w:rPr>
            </w:pPr>
            <w:r w:rsidRPr="006059DD">
              <w:rPr>
                <w:sz w:val="18"/>
              </w:rPr>
              <w:t>$</w:t>
            </w:r>
            <w:r>
              <w:rPr>
                <w:sz w:val="18"/>
              </w:rPr>
              <w:t>0</w:t>
            </w:r>
            <w:r w:rsidRPr="006059DD">
              <w:rPr>
                <w:sz w:val="18"/>
              </w:rPr>
              <w:t>/</w:t>
            </w:r>
            <w:proofErr w:type="spellStart"/>
            <w:r w:rsidRPr="006059DD">
              <w:rPr>
                <w:sz w:val="18"/>
              </w:rPr>
              <w:t>hp</w:t>
            </w:r>
            <w:proofErr w:type="spellEnd"/>
          </w:p>
          <w:p w:rsidR="00064F46" w:rsidRPr="006059DD" w:rsidRDefault="00064F46" w:rsidP="00D22EB8">
            <w:pPr>
              <w:keepNext/>
              <w:jc w:val="center"/>
              <w:rPr>
                <w:sz w:val="18"/>
              </w:rPr>
            </w:pPr>
            <w:r>
              <w:rPr>
                <w:sz w:val="18"/>
              </w:rPr>
              <w:t>$64/</w:t>
            </w:r>
            <w:proofErr w:type="spellStart"/>
            <w:r>
              <w:rPr>
                <w:sz w:val="18"/>
              </w:rPr>
              <w:t>hp</w:t>
            </w:r>
            <w:proofErr w:type="spellEnd"/>
          </w:p>
        </w:tc>
        <w:tc>
          <w:tcPr>
            <w:tcW w:w="557" w:type="pct"/>
            <w:shd w:val="clear" w:color="auto" w:fill="D9D9D9"/>
            <w:vAlign w:val="center"/>
          </w:tcPr>
          <w:p w:rsidR="00D22EB8" w:rsidRPr="006059DD" w:rsidRDefault="00D22EB8" w:rsidP="000F1160">
            <w:pPr>
              <w:keepNext/>
              <w:jc w:val="center"/>
              <w:rPr>
                <w:sz w:val="18"/>
              </w:rPr>
            </w:pPr>
            <w:r w:rsidRPr="006059DD">
              <w:rPr>
                <w:sz w:val="18"/>
              </w:rPr>
              <w:t>$163/hp</w:t>
            </w:r>
          </w:p>
        </w:tc>
        <w:tc>
          <w:tcPr>
            <w:tcW w:w="528" w:type="pct"/>
            <w:shd w:val="clear" w:color="auto" w:fill="D9D9D9"/>
            <w:vAlign w:val="center"/>
          </w:tcPr>
          <w:p w:rsidR="00D22EB8" w:rsidRPr="006059DD" w:rsidRDefault="00D22EB8" w:rsidP="000F1160">
            <w:pPr>
              <w:keepNext/>
              <w:jc w:val="center"/>
              <w:rPr>
                <w:sz w:val="18"/>
              </w:rPr>
            </w:pPr>
            <w:r w:rsidRPr="006059DD">
              <w:rPr>
                <w:sz w:val="18"/>
              </w:rPr>
              <w:t>$26/hp</w:t>
            </w:r>
          </w:p>
        </w:tc>
        <w:tc>
          <w:tcPr>
            <w:tcW w:w="776" w:type="pct"/>
            <w:shd w:val="clear" w:color="auto" w:fill="D9D9D9"/>
            <w:vAlign w:val="center"/>
          </w:tcPr>
          <w:p w:rsidR="00064F46" w:rsidRDefault="00064F46" w:rsidP="000F1160">
            <w:pPr>
              <w:keepNext/>
              <w:jc w:val="center"/>
              <w:rPr>
                <w:sz w:val="18"/>
              </w:rPr>
            </w:pPr>
            <w:r w:rsidRPr="006059DD">
              <w:rPr>
                <w:sz w:val="18"/>
              </w:rPr>
              <w:t>$</w:t>
            </w:r>
            <w:r>
              <w:rPr>
                <w:sz w:val="18"/>
              </w:rPr>
              <w:t>99</w:t>
            </w:r>
            <w:r w:rsidRPr="006059DD">
              <w:rPr>
                <w:sz w:val="18"/>
              </w:rPr>
              <w:t>/</w:t>
            </w:r>
            <w:proofErr w:type="spellStart"/>
            <w:r w:rsidRPr="006059DD">
              <w:rPr>
                <w:sz w:val="18"/>
              </w:rPr>
              <w:t>hp</w:t>
            </w:r>
            <w:proofErr w:type="spellEnd"/>
            <w:r w:rsidRPr="006059DD">
              <w:rPr>
                <w:sz w:val="18"/>
              </w:rPr>
              <w:t xml:space="preserve"> </w:t>
            </w:r>
          </w:p>
          <w:p w:rsidR="00D22EB8" w:rsidRPr="006059DD" w:rsidRDefault="00D22EB8" w:rsidP="000F1160">
            <w:pPr>
              <w:keepNext/>
              <w:jc w:val="center"/>
              <w:rPr>
                <w:sz w:val="18"/>
              </w:rPr>
            </w:pPr>
            <w:r w:rsidRPr="006059DD">
              <w:rPr>
                <w:sz w:val="18"/>
              </w:rPr>
              <w:t>$189/</w:t>
            </w:r>
            <w:proofErr w:type="spellStart"/>
            <w:r w:rsidRPr="006059DD">
              <w:rPr>
                <w:sz w:val="18"/>
              </w:rPr>
              <w:t>hp</w:t>
            </w:r>
            <w:proofErr w:type="spellEnd"/>
          </w:p>
        </w:tc>
      </w:tr>
      <w:tr w:rsidR="00D22EB8" w:rsidRPr="006059DD" w:rsidTr="00064F46">
        <w:trPr>
          <w:jc w:val="center"/>
        </w:trPr>
        <w:tc>
          <w:tcPr>
            <w:tcW w:w="420" w:type="pct"/>
            <w:shd w:val="clear" w:color="auto" w:fill="BFBFBF"/>
            <w:vAlign w:val="center"/>
          </w:tcPr>
          <w:p w:rsidR="00D22EB8" w:rsidRPr="006059DD" w:rsidRDefault="00D22EB8" w:rsidP="000F1160">
            <w:pPr>
              <w:keepNext/>
              <w:jc w:val="center"/>
              <w:rPr>
                <w:sz w:val="18"/>
              </w:rPr>
            </w:pPr>
            <w:r w:rsidRPr="006059DD">
              <w:rPr>
                <w:sz w:val="18"/>
              </w:rPr>
              <w:t>AG</w:t>
            </w:r>
          </w:p>
        </w:tc>
        <w:tc>
          <w:tcPr>
            <w:tcW w:w="442" w:type="pct"/>
            <w:shd w:val="clear" w:color="auto" w:fill="BFBFBF"/>
            <w:vAlign w:val="center"/>
          </w:tcPr>
          <w:p w:rsidR="00D22EB8" w:rsidRPr="006059DD" w:rsidRDefault="00D22EB8" w:rsidP="000F1160">
            <w:pPr>
              <w:keepNext/>
              <w:jc w:val="center"/>
              <w:rPr>
                <w:sz w:val="18"/>
              </w:rPr>
            </w:pPr>
            <w:r w:rsidRPr="006059DD">
              <w:rPr>
                <w:sz w:val="18"/>
              </w:rPr>
              <w:t>Booster</w:t>
            </w:r>
          </w:p>
        </w:tc>
        <w:tc>
          <w:tcPr>
            <w:tcW w:w="543" w:type="pct"/>
            <w:shd w:val="clear" w:color="auto" w:fill="BFBFBF"/>
            <w:vAlign w:val="center"/>
          </w:tcPr>
          <w:p w:rsidR="00D22EB8" w:rsidRPr="00D22EB8" w:rsidRDefault="00D22EB8" w:rsidP="000F1160">
            <w:pPr>
              <w:jc w:val="center"/>
              <w:rPr>
                <w:sz w:val="18"/>
              </w:rPr>
            </w:pPr>
            <w:r w:rsidRPr="00D22EB8">
              <w:rPr>
                <w:sz w:val="18"/>
              </w:rPr>
              <w:t>IR007</w:t>
            </w:r>
          </w:p>
        </w:tc>
        <w:tc>
          <w:tcPr>
            <w:tcW w:w="1142" w:type="pct"/>
            <w:shd w:val="clear" w:color="auto" w:fill="BFBFBF"/>
            <w:vAlign w:val="center"/>
          </w:tcPr>
          <w:p w:rsidR="00D22EB8" w:rsidRPr="006059DD" w:rsidRDefault="00D22EB8" w:rsidP="000F1160">
            <w:pPr>
              <w:rPr>
                <w:sz w:val="18"/>
              </w:rPr>
            </w:pPr>
            <w:r w:rsidRPr="006059DD">
              <w:rPr>
                <w:sz w:val="18"/>
              </w:rPr>
              <w:t xml:space="preserve">VFD ON AG BOOSTER PUMPS (&lt;=150HP) </w:t>
            </w:r>
          </w:p>
        </w:tc>
        <w:tc>
          <w:tcPr>
            <w:tcW w:w="591" w:type="pct"/>
            <w:shd w:val="clear" w:color="auto" w:fill="BFBFBF"/>
            <w:vAlign w:val="center"/>
          </w:tcPr>
          <w:p w:rsidR="00D22EB8" w:rsidRDefault="00D22EB8" w:rsidP="00D22EB8">
            <w:pPr>
              <w:keepNext/>
              <w:jc w:val="center"/>
              <w:rPr>
                <w:sz w:val="18"/>
              </w:rPr>
            </w:pPr>
            <w:r w:rsidRPr="006059DD">
              <w:rPr>
                <w:sz w:val="18"/>
              </w:rPr>
              <w:t>$</w:t>
            </w:r>
            <w:r>
              <w:rPr>
                <w:sz w:val="18"/>
              </w:rPr>
              <w:t>0</w:t>
            </w:r>
            <w:r w:rsidRPr="006059DD">
              <w:rPr>
                <w:sz w:val="18"/>
              </w:rPr>
              <w:t>/</w:t>
            </w:r>
            <w:proofErr w:type="spellStart"/>
            <w:r w:rsidRPr="006059DD">
              <w:rPr>
                <w:sz w:val="18"/>
              </w:rPr>
              <w:t>hp</w:t>
            </w:r>
            <w:proofErr w:type="spellEnd"/>
          </w:p>
          <w:p w:rsidR="00064F46" w:rsidRPr="006059DD" w:rsidRDefault="00064F46" w:rsidP="00D22EB8">
            <w:pPr>
              <w:keepNext/>
              <w:jc w:val="center"/>
              <w:rPr>
                <w:sz w:val="18"/>
              </w:rPr>
            </w:pPr>
            <w:r>
              <w:rPr>
                <w:sz w:val="18"/>
              </w:rPr>
              <w:t>$64/</w:t>
            </w:r>
            <w:proofErr w:type="spellStart"/>
            <w:r>
              <w:rPr>
                <w:sz w:val="18"/>
              </w:rPr>
              <w:t>hp</w:t>
            </w:r>
            <w:proofErr w:type="spellEnd"/>
          </w:p>
        </w:tc>
        <w:tc>
          <w:tcPr>
            <w:tcW w:w="557" w:type="pct"/>
            <w:shd w:val="clear" w:color="auto" w:fill="BFBFBF"/>
            <w:vAlign w:val="center"/>
          </w:tcPr>
          <w:p w:rsidR="00D22EB8" w:rsidRPr="006059DD" w:rsidRDefault="00D22EB8" w:rsidP="000F1160">
            <w:pPr>
              <w:keepNext/>
              <w:jc w:val="center"/>
              <w:rPr>
                <w:sz w:val="18"/>
              </w:rPr>
            </w:pPr>
            <w:r w:rsidRPr="006059DD">
              <w:rPr>
                <w:sz w:val="18"/>
              </w:rPr>
              <w:t>$171/hp</w:t>
            </w:r>
          </w:p>
        </w:tc>
        <w:tc>
          <w:tcPr>
            <w:tcW w:w="528" w:type="pct"/>
            <w:shd w:val="clear" w:color="auto" w:fill="BFBFBF"/>
            <w:vAlign w:val="center"/>
          </w:tcPr>
          <w:p w:rsidR="00D22EB8" w:rsidRPr="006059DD" w:rsidRDefault="00D22EB8" w:rsidP="000F1160">
            <w:pPr>
              <w:keepNext/>
              <w:jc w:val="center"/>
              <w:rPr>
                <w:sz w:val="18"/>
              </w:rPr>
            </w:pPr>
            <w:r w:rsidRPr="006059DD">
              <w:rPr>
                <w:sz w:val="18"/>
              </w:rPr>
              <w:t>$30/hp</w:t>
            </w:r>
          </w:p>
        </w:tc>
        <w:tc>
          <w:tcPr>
            <w:tcW w:w="776" w:type="pct"/>
            <w:shd w:val="clear" w:color="auto" w:fill="BFBFBF"/>
            <w:vAlign w:val="center"/>
          </w:tcPr>
          <w:p w:rsidR="00D22EB8" w:rsidRPr="006059DD" w:rsidRDefault="00064F46" w:rsidP="000F1160">
            <w:pPr>
              <w:keepNext/>
              <w:jc w:val="center"/>
              <w:rPr>
                <w:sz w:val="18"/>
              </w:rPr>
            </w:pPr>
            <w:r w:rsidRPr="006059DD">
              <w:rPr>
                <w:sz w:val="18"/>
              </w:rPr>
              <w:t>$</w:t>
            </w:r>
            <w:r>
              <w:rPr>
                <w:sz w:val="18"/>
              </w:rPr>
              <w:t>107</w:t>
            </w:r>
            <w:r w:rsidRPr="006059DD">
              <w:rPr>
                <w:sz w:val="18"/>
              </w:rPr>
              <w:t>/</w:t>
            </w:r>
            <w:proofErr w:type="spellStart"/>
            <w:r w:rsidRPr="006059DD">
              <w:rPr>
                <w:sz w:val="18"/>
              </w:rPr>
              <w:t>hp</w:t>
            </w:r>
            <w:proofErr w:type="spellEnd"/>
            <w:r w:rsidRPr="006059DD">
              <w:rPr>
                <w:sz w:val="18"/>
              </w:rPr>
              <w:t xml:space="preserve"> </w:t>
            </w:r>
            <w:r w:rsidR="00D22EB8" w:rsidRPr="006059DD">
              <w:rPr>
                <w:sz w:val="18"/>
              </w:rPr>
              <w:t>$201/</w:t>
            </w:r>
            <w:proofErr w:type="spellStart"/>
            <w:r w:rsidR="00D22EB8" w:rsidRPr="006059DD">
              <w:rPr>
                <w:sz w:val="18"/>
              </w:rPr>
              <w:t>hp</w:t>
            </w:r>
            <w:proofErr w:type="spellEnd"/>
          </w:p>
        </w:tc>
      </w:tr>
    </w:tbl>
    <w:p w:rsidR="00AB0935" w:rsidRDefault="00241962" w:rsidP="00AB0935">
      <w:pPr>
        <w:pStyle w:val="Heading1"/>
      </w:pPr>
      <w:r>
        <w:br w:type="page"/>
      </w:r>
      <w:bookmarkStart w:id="34" w:name="_Toc447098739"/>
      <w:r w:rsidR="00DE0602" w:rsidRPr="00314FE6">
        <w:lastRenderedPageBreak/>
        <w:t>R</w:t>
      </w:r>
      <w:r w:rsidR="000966CC" w:rsidRPr="00314FE6">
        <w:t>eferences</w:t>
      </w:r>
      <w:bookmarkEnd w:id="34"/>
    </w:p>
    <w:p w:rsidR="00135F26" w:rsidRPr="00D24319" w:rsidRDefault="00AB0935" w:rsidP="00135F26">
      <w:pPr>
        <w:pStyle w:val="EndnoteText"/>
        <w:ind w:left="180" w:hanging="180"/>
      </w:pPr>
      <w:r>
        <w:rPr>
          <w:rStyle w:val="EndnoteReference"/>
        </w:rPr>
        <w:t>1</w:t>
      </w:r>
      <w:r w:rsidR="00135F26" w:rsidRPr="00D24319">
        <w:t xml:space="preserve"> Burt, C.M., Variable Frequency Drive (VFD) Controlled Irrigation Pumps – Analysis of Potential Rebate (ITRC Report No. R 11-005, Irrigation Training and Research Center, California Polytechnic State University, San Luis Obispo, 2011.</w:t>
      </w:r>
    </w:p>
    <w:p w:rsidR="00AB0935" w:rsidRDefault="00AB0935" w:rsidP="00135F26">
      <w:pPr>
        <w:pStyle w:val="EndnoteText"/>
        <w:ind w:left="180" w:hanging="180"/>
      </w:pPr>
    </w:p>
    <w:p w:rsidR="00135F26" w:rsidRPr="00D24319" w:rsidRDefault="00AB0935" w:rsidP="00135F26">
      <w:pPr>
        <w:pStyle w:val="EndnoteText"/>
        <w:ind w:left="180" w:hanging="180"/>
      </w:pPr>
      <w:r>
        <w:rPr>
          <w:rStyle w:val="EndnoteReference"/>
        </w:rPr>
        <w:t>2</w:t>
      </w:r>
      <w:r w:rsidR="00135F26" w:rsidRPr="00D24319">
        <w:t xml:space="preserve"> Burt, C.B., Howes, D.J., Freeman, B., Agricultural Water Energy Efficiency (CEC-500-2011-049), California Energy Commission, December 2011.</w:t>
      </w:r>
    </w:p>
    <w:p w:rsidR="00AB0935" w:rsidRDefault="00AB0935" w:rsidP="00135F26">
      <w:pPr>
        <w:pStyle w:val="EndnoteText"/>
        <w:ind w:left="180" w:hanging="180"/>
      </w:pPr>
    </w:p>
    <w:p w:rsidR="00135F26" w:rsidRPr="00D24319" w:rsidRDefault="00AB0935" w:rsidP="00135F26">
      <w:pPr>
        <w:pStyle w:val="EndnoteText"/>
        <w:ind w:left="180" w:hanging="180"/>
      </w:pPr>
      <w:r>
        <w:rPr>
          <w:rStyle w:val="EndnoteReference"/>
        </w:rPr>
        <w:t>3</w:t>
      </w:r>
      <w:r w:rsidR="00135F26" w:rsidRPr="00D24319">
        <w:t xml:space="preserve"> </w:t>
      </w:r>
      <w:proofErr w:type="gramStart"/>
      <w:r w:rsidR="00135F26" w:rsidRPr="00D24319">
        <w:t>Marks, G. and Wilcox, E.</w:t>
      </w:r>
      <w:proofErr w:type="gramEnd"/>
      <w:r w:rsidR="00135F26" w:rsidRPr="00D24319">
        <w:t xml:space="preserve">  Opportunities for Demand Response in California Agricultural Irrigation: A Scoping Study, Ernest Orlando Lawrence Berkeley National Laboratory, January 2013.</w:t>
      </w:r>
    </w:p>
    <w:p w:rsidR="00071A4E" w:rsidRDefault="00071A4E" w:rsidP="00E35EAA"/>
    <w:p w:rsidR="00D37609" w:rsidRDefault="00D37609" w:rsidP="00E35EAA"/>
    <w:p w:rsidR="00D37609" w:rsidRDefault="00D37609" w:rsidP="00E35EAA"/>
    <w:p w:rsidR="00A50518" w:rsidRDefault="006F085E" w:rsidP="00E35EAA">
      <w:pPr>
        <w:pStyle w:val="Heading1"/>
      </w:pPr>
      <w:bookmarkStart w:id="35" w:name="_Toc447098740"/>
      <w:r w:rsidRPr="00800859">
        <w:t>Attach</w:t>
      </w:r>
      <w:r w:rsidR="00800859" w:rsidRPr="00800859">
        <w:t>ment</w:t>
      </w:r>
      <w:r w:rsidR="00A50518">
        <w:t>s</w:t>
      </w:r>
      <w:bookmarkEnd w:id="35"/>
    </w:p>
    <w:p w:rsidR="00D37609" w:rsidRDefault="00D37609" w:rsidP="00D37609">
      <w:pPr>
        <w:spacing w:before="120"/>
        <w:jc w:val="both"/>
      </w:pPr>
      <w:r w:rsidRPr="00D444ED">
        <w:t>[</w:t>
      </w:r>
      <w:r w:rsidR="00AB0935">
        <w:t>A</w:t>
      </w:r>
      <w:r w:rsidRPr="00D444ED">
        <w:t xml:space="preserve">] </w:t>
      </w:r>
      <w:r w:rsidRPr="00D37609">
        <w:t>PGECO</w:t>
      </w:r>
      <w:r w:rsidR="004966AF">
        <w:t>AGR119</w:t>
      </w:r>
      <w:r w:rsidRPr="00D37609">
        <w:t xml:space="preserve"> R</w:t>
      </w:r>
      <w:r w:rsidR="00064F46">
        <w:t>3</w:t>
      </w:r>
      <w:r w:rsidRPr="00D37609">
        <w:t xml:space="preserve"> </w:t>
      </w:r>
      <w:r w:rsidR="00135F26">
        <w:t xml:space="preserve">VFD on </w:t>
      </w:r>
      <w:r w:rsidRPr="00D37609">
        <w:t>Ag</w:t>
      </w:r>
      <w:r w:rsidR="00135F26">
        <w:t>ricultural</w:t>
      </w:r>
      <w:r w:rsidRPr="00D37609">
        <w:t xml:space="preserve"> Pump</w:t>
      </w:r>
      <w:r w:rsidR="00135F26">
        <w:t>s</w:t>
      </w:r>
      <w:r w:rsidRPr="00D37609">
        <w:t xml:space="preserve"> Savings</w:t>
      </w:r>
      <w:r w:rsidRPr="00D444ED">
        <w:t>.xlsm</w:t>
      </w:r>
    </w:p>
    <w:p w:rsidR="00FB47CF" w:rsidRPr="000A0895" w:rsidRDefault="00FB47CF" w:rsidP="00E35EAA">
      <w:r w:rsidRPr="000A0895">
        <w:tab/>
      </w:r>
      <w:r w:rsidRPr="000A0895">
        <w:tab/>
      </w:r>
      <w:r w:rsidRPr="000A0895">
        <w:tab/>
      </w:r>
    </w:p>
    <w:sectPr w:rsidR="00FB47CF" w:rsidRPr="000A0895" w:rsidSect="004966AF">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3E1" w:rsidRDefault="00FD03E1" w:rsidP="00E35EAA">
      <w:r>
        <w:separator/>
      </w:r>
    </w:p>
  </w:endnote>
  <w:endnote w:type="continuationSeparator" w:id="0">
    <w:p w:rsidR="00FD03E1" w:rsidRDefault="00FD03E1" w:rsidP="00E35EAA">
      <w:r>
        <w:continuationSeparator/>
      </w:r>
    </w:p>
  </w:endnote>
  <w:endnote w:id="1">
    <w:p w:rsidR="00FD03E1" w:rsidRPr="00324867" w:rsidRDefault="00FD03E1" w:rsidP="0032486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Default="00FD03E1"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FD03E1" w:rsidRDefault="00FD03E1" w:rsidP="00E35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Pr="002E0E3F" w:rsidRDefault="00FD03E1" w:rsidP="00E35EAA">
    <w:pPr>
      <w:pStyle w:val="Footer"/>
    </w:pPr>
    <w:r>
      <w:t>Date of Last Revision</w:t>
    </w:r>
  </w:p>
  <w:p w:rsidR="00FD03E1" w:rsidRDefault="00FD03E1"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Default="00FD03E1" w:rsidP="000062B2">
    <w:pPr>
      <w:pStyle w:val="Footer"/>
    </w:pPr>
    <w:r>
      <w:t>PGECOAGR119</w:t>
    </w:r>
    <w:r w:rsidRPr="000062B2">
      <w:t xml:space="preserve">, Revision </w:t>
    </w:r>
    <w:r w:rsidR="00064F46">
      <w:t>3</w:t>
    </w:r>
    <w:r w:rsidRPr="000062B2">
      <w:t xml:space="preserve"> </w:t>
    </w:r>
    <w:r w:rsidR="00064F46">
      <w:tab/>
    </w:r>
    <w:r w:rsidR="00064F46">
      <w:tab/>
      <w:t>4/1/2017</w:t>
    </w:r>
  </w:p>
  <w:p w:rsidR="00FD03E1" w:rsidRPr="00897B81" w:rsidRDefault="00FD03E1" w:rsidP="000062B2">
    <w:pPr>
      <w:pStyle w:val="Footer"/>
    </w:pPr>
    <w:r w:rsidRPr="00897B81">
      <w:t>Pacific Gas &amp; Electric Company</w:t>
    </w:r>
    <w: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2D6206">
      <w:rPr>
        <w:rStyle w:val="PageNumber"/>
        <w:b/>
        <w:noProof/>
      </w:rPr>
      <w:t>i</w:t>
    </w:r>
    <w:r w:rsidRPr="00846195">
      <w:rPr>
        <w:rStyle w:val="PageNumber"/>
        <w:b/>
      </w:rPr>
      <w:fldChar w:fldCharType="end"/>
    </w:r>
  </w:p>
  <w:p w:rsidR="00FD03E1" w:rsidRPr="00893A0F" w:rsidRDefault="00064F46" w:rsidP="000062B2">
    <w:pPr>
      <w:pStyle w:val="Footer"/>
    </w:pPr>
    <w:r>
      <w:t>PGECOAGR119 R3</w:t>
    </w:r>
    <w:r w:rsidR="00FD03E1">
      <w:t xml:space="preserve"> VFD Ag Pumps.docx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3E1" w:rsidRDefault="00FD03E1" w:rsidP="00E35EAA">
      <w:r>
        <w:separator/>
      </w:r>
    </w:p>
  </w:footnote>
  <w:footnote w:type="continuationSeparator" w:id="0">
    <w:p w:rsidR="00FD03E1" w:rsidRDefault="00FD03E1"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Default="002D6206"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Default="00FD03E1" w:rsidP="00E35EAA">
    <w:pPr>
      <w:pStyle w:val="Header"/>
    </w:pPr>
  </w:p>
  <w:p w:rsidR="00FD03E1" w:rsidRDefault="00FD03E1" w:rsidP="00E35E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E1" w:rsidRDefault="002D6206"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C58"/>
    <w:multiLevelType w:val="hybridMultilevel"/>
    <w:tmpl w:val="9754134C"/>
    <w:lvl w:ilvl="0" w:tplc="3F04DC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725941"/>
    <w:multiLevelType w:val="hybridMultilevel"/>
    <w:tmpl w:val="BC1A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054633"/>
    <w:multiLevelType w:val="hybridMultilevel"/>
    <w:tmpl w:val="CED09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D3A0E2D"/>
    <w:multiLevelType w:val="hybridMultilevel"/>
    <w:tmpl w:val="9FF888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9C0B3E"/>
    <w:multiLevelType w:val="hybridMultilevel"/>
    <w:tmpl w:val="E7DE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91044C"/>
    <w:multiLevelType w:val="hybridMultilevel"/>
    <w:tmpl w:val="F8DE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8">
    <w:nsid w:val="31FB38D6"/>
    <w:multiLevelType w:val="hybridMultilevel"/>
    <w:tmpl w:val="540C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51BF9"/>
    <w:multiLevelType w:val="hybridMultilevel"/>
    <w:tmpl w:val="9B78F5E2"/>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1">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707C3E"/>
    <w:multiLevelType w:val="hybridMultilevel"/>
    <w:tmpl w:val="374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042557"/>
    <w:multiLevelType w:val="hybridMultilevel"/>
    <w:tmpl w:val="7CBC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FC0613"/>
    <w:multiLevelType w:val="hybridMultilevel"/>
    <w:tmpl w:val="6DD4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027ECD"/>
    <w:multiLevelType w:val="hybridMultilevel"/>
    <w:tmpl w:val="0B82DF0C"/>
    <w:lvl w:ilvl="0" w:tplc="1B864622">
      <w:start w:val="16"/>
      <w:numFmt w:val="bullet"/>
      <w:lvlText w:val=""/>
      <w:lvlJc w:val="left"/>
      <w:pPr>
        <w:ind w:left="1800" w:hanging="360"/>
      </w:pPr>
      <w:rPr>
        <w:rFonts w:ascii="Symbol" w:eastAsia="Times New Roman" w:hAnsi="Symbol" w:cs="Aria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C7614A9"/>
    <w:multiLevelType w:val="hybridMultilevel"/>
    <w:tmpl w:val="F6687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3839D6"/>
    <w:multiLevelType w:val="hybridMultilevel"/>
    <w:tmpl w:val="F2A4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247174"/>
    <w:multiLevelType w:val="hybridMultilevel"/>
    <w:tmpl w:val="8BFA9B5C"/>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2">
    <w:nsid w:val="543132E5"/>
    <w:multiLevelType w:val="hybridMultilevel"/>
    <w:tmpl w:val="44829F34"/>
    <w:lvl w:ilvl="0" w:tplc="B04E47F8">
      <w:start w:val="1"/>
      <w:numFmt w:val="bullet"/>
      <w:lvlText w:val=""/>
      <w:lvlJc w:val="left"/>
      <w:pPr>
        <w:ind w:left="1800" w:hanging="360"/>
      </w:pPr>
      <w:rPr>
        <w:rFonts w:ascii="Symbol" w:eastAsia="Calibri" w:hAnsi="Symbol" w:cstheme="minorHAns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4">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5">
    <w:nsid w:val="5F335F86"/>
    <w:multiLevelType w:val="hybridMultilevel"/>
    <w:tmpl w:val="ACEA06A2"/>
    <w:lvl w:ilvl="0" w:tplc="0409000F">
      <w:start w:val="1"/>
      <w:numFmt w:val="decimal"/>
      <w:lvlText w:val="%1."/>
      <w:lvlJc w:val="left"/>
      <w:pPr>
        <w:tabs>
          <w:tab w:val="num" w:pos="788"/>
        </w:tabs>
        <w:ind w:left="788" w:hanging="360"/>
      </w:p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3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1CA4FDD"/>
    <w:multiLevelType w:val="hybridMultilevel"/>
    <w:tmpl w:val="16ECC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A812CA"/>
    <w:multiLevelType w:val="hybridMultilevel"/>
    <w:tmpl w:val="0502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5369AE"/>
    <w:multiLevelType w:val="hybridMultilevel"/>
    <w:tmpl w:val="02A863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9D286F"/>
    <w:multiLevelType w:val="hybridMultilevel"/>
    <w:tmpl w:val="E904E0A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1">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0A4AE0"/>
    <w:multiLevelType w:val="hybridMultilevel"/>
    <w:tmpl w:val="951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B5511B"/>
    <w:multiLevelType w:val="hybridMultilevel"/>
    <w:tmpl w:val="93C0D95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5">
    <w:nsid w:val="77820856"/>
    <w:multiLevelType w:val="singleLevel"/>
    <w:tmpl w:val="6C78A414"/>
    <w:lvl w:ilvl="0">
      <w:start w:val="1"/>
      <w:numFmt w:val="decimal"/>
      <w:lvlText w:val="%1."/>
      <w:legacy w:legacy="1" w:legacySpace="0" w:legacyIndent="0"/>
      <w:lvlJc w:val="left"/>
    </w:lvl>
  </w:abstractNum>
  <w:abstractNum w:abstractNumId="46">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0"/>
  </w:num>
  <w:num w:numId="4">
    <w:abstractNumId w:val="13"/>
  </w:num>
  <w:num w:numId="5">
    <w:abstractNumId w:val="45"/>
  </w:num>
  <w:num w:numId="6">
    <w:abstractNumId w:val="17"/>
  </w:num>
  <w:num w:numId="7">
    <w:abstractNumId w:val="12"/>
  </w:num>
  <w:num w:numId="8">
    <w:abstractNumId w:val="21"/>
  </w:num>
  <w:num w:numId="9">
    <w:abstractNumId w:val="15"/>
  </w:num>
  <w:num w:numId="10">
    <w:abstractNumId w:val="4"/>
  </w:num>
  <w:num w:numId="11">
    <w:abstractNumId w:val="34"/>
  </w:num>
  <w:num w:numId="12">
    <w:abstractNumId w:val="36"/>
  </w:num>
  <w:num w:numId="13">
    <w:abstractNumId w:val="7"/>
  </w:num>
  <w:num w:numId="14">
    <w:abstractNumId w:val="46"/>
  </w:num>
  <w:num w:numId="15">
    <w:abstractNumId w:val="24"/>
  </w:num>
  <w:num w:numId="16">
    <w:abstractNumId w:val="26"/>
  </w:num>
  <w:num w:numId="17">
    <w:abstractNumId w:val="2"/>
  </w:num>
  <w:num w:numId="18">
    <w:abstractNumId w:val="14"/>
  </w:num>
  <w:num w:numId="19">
    <w:abstractNumId w:val="41"/>
  </w:num>
  <w:num w:numId="20">
    <w:abstractNumId w:val="43"/>
  </w:num>
  <w:num w:numId="21">
    <w:abstractNumId w:val="8"/>
  </w:num>
  <w:num w:numId="22">
    <w:abstractNumId w:val="40"/>
  </w:num>
  <w:num w:numId="23">
    <w:abstractNumId w:val="33"/>
  </w:num>
  <w:num w:numId="24">
    <w:abstractNumId w:val="16"/>
  </w:num>
  <w:num w:numId="25">
    <w:abstractNumId w:val="3"/>
  </w:num>
  <w:num w:numId="26">
    <w:abstractNumId w:val="20"/>
  </w:num>
  <w:num w:numId="27">
    <w:abstractNumId w:val="9"/>
  </w:num>
  <w:num w:numId="28">
    <w:abstractNumId w:val="18"/>
  </w:num>
  <w:num w:numId="29">
    <w:abstractNumId w:val="42"/>
  </w:num>
  <w:num w:numId="30">
    <w:abstractNumId w:val="25"/>
  </w:num>
  <w:num w:numId="31">
    <w:abstractNumId w:val="37"/>
  </w:num>
  <w:num w:numId="32">
    <w:abstractNumId w:val="28"/>
  </w:num>
  <w:num w:numId="33">
    <w:abstractNumId w:val="39"/>
  </w:num>
  <w:num w:numId="34">
    <w:abstractNumId w:val="29"/>
  </w:num>
  <w:num w:numId="35">
    <w:abstractNumId w:val="35"/>
  </w:num>
  <w:num w:numId="36">
    <w:abstractNumId w:val="1"/>
  </w:num>
  <w:num w:numId="37">
    <w:abstractNumId w:val="0"/>
  </w:num>
  <w:num w:numId="38">
    <w:abstractNumId w:val="5"/>
  </w:num>
  <w:num w:numId="39">
    <w:abstractNumId w:val="32"/>
  </w:num>
  <w:num w:numId="40">
    <w:abstractNumId w:val="27"/>
  </w:num>
  <w:num w:numId="41">
    <w:abstractNumId w:val="22"/>
  </w:num>
  <w:num w:numId="42">
    <w:abstractNumId w:val="23"/>
  </w:num>
  <w:num w:numId="43">
    <w:abstractNumId w:val="31"/>
  </w:num>
  <w:num w:numId="44">
    <w:abstractNumId w:val="38"/>
  </w:num>
  <w:num w:numId="45">
    <w:abstractNumId w:val="11"/>
  </w:num>
  <w:num w:numId="46">
    <w:abstractNumId w:val="44"/>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062B2"/>
    <w:rsid w:val="00012F86"/>
    <w:rsid w:val="00014740"/>
    <w:rsid w:val="00014742"/>
    <w:rsid w:val="000170B5"/>
    <w:rsid w:val="00017488"/>
    <w:rsid w:val="0002118E"/>
    <w:rsid w:val="00023102"/>
    <w:rsid w:val="00024AA9"/>
    <w:rsid w:val="0002635D"/>
    <w:rsid w:val="00026F78"/>
    <w:rsid w:val="000272C2"/>
    <w:rsid w:val="0003064A"/>
    <w:rsid w:val="00032B63"/>
    <w:rsid w:val="000351CB"/>
    <w:rsid w:val="000373B0"/>
    <w:rsid w:val="000374A5"/>
    <w:rsid w:val="00037626"/>
    <w:rsid w:val="00042297"/>
    <w:rsid w:val="00044365"/>
    <w:rsid w:val="00044570"/>
    <w:rsid w:val="000448A5"/>
    <w:rsid w:val="00045B0A"/>
    <w:rsid w:val="00046D10"/>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4F46"/>
    <w:rsid w:val="00066806"/>
    <w:rsid w:val="00066D5B"/>
    <w:rsid w:val="000678A2"/>
    <w:rsid w:val="00067EB5"/>
    <w:rsid w:val="000701EB"/>
    <w:rsid w:val="000719AA"/>
    <w:rsid w:val="00071A4E"/>
    <w:rsid w:val="00073184"/>
    <w:rsid w:val="000737D5"/>
    <w:rsid w:val="000749EA"/>
    <w:rsid w:val="00077161"/>
    <w:rsid w:val="00077DC4"/>
    <w:rsid w:val="00080907"/>
    <w:rsid w:val="000814B9"/>
    <w:rsid w:val="000842B9"/>
    <w:rsid w:val="0008537D"/>
    <w:rsid w:val="00085DF5"/>
    <w:rsid w:val="00086594"/>
    <w:rsid w:val="000865EC"/>
    <w:rsid w:val="00087378"/>
    <w:rsid w:val="00090529"/>
    <w:rsid w:val="000907BE"/>
    <w:rsid w:val="00095610"/>
    <w:rsid w:val="000966CC"/>
    <w:rsid w:val="00096D4F"/>
    <w:rsid w:val="000A0895"/>
    <w:rsid w:val="000A1ADB"/>
    <w:rsid w:val="000A222D"/>
    <w:rsid w:val="000A2490"/>
    <w:rsid w:val="000A2FB3"/>
    <w:rsid w:val="000A31FE"/>
    <w:rsid w:val="000A48F2"/>
    <w:rsid w:val="000A50E7"/>
    <w:rsid w:val="000A52E5"/>
    <w:rsid w:val="000A5EC4"/>
    <w:rsid w:val="000A6759"/>
    <w:rsid w:val="000B0B1E"/>
    <w:rsid w:val="000B2675"/>
    <w:rsid w:val="000B71D2"/>
    <w:rsid w:val="000C0FD3"/>
    <w:rsid w:val="000C23B1"/>
    <w:rsid w:val="000C4442"/>
    <w:rsid w:val="000C4909"/>
    <w:rsid w:val="000C5FFA"/>
    <w:rsid w:val="000D47BE"/>
    <w:rsid w:val="000D5047"/>
    <w:rsid w:val="000D5790"/>
    <w:rsid w:val="000D5B64"/>
    <w:rsid w:val="000D6392"/>
    <w:rsid w:val="000D64B7"/>
    <w:rsid w:val="000D6DA4"/>
    <w:rsid w:val="000D71F0"/>
    <w:rsid w:val="000E0350"/>
    <w:rsid w:val="000E132D"/>
    <w:rsid w:val="000E273A"/>
    <w:rsid w:val="000E29FA"/>
    <w:rsid w:val="000E2FC0"/>
    <w:rsid w:val="000E31B5"/>
    <w:rsid w:val="000E6E80"/>
    <w:rsid w:val="000F0069"/>
    <w:rsid w:val="000F0370"/>
    <w:rsid w:val="000F0C5D"/>
    <w:rsid w:val="000F1160"/>
    <w:rsid w:val="000F11DD"/>
    <w:rsid w:val="000F13FB"/>
    <w:rsid w:val="000F16B4"/>
    <w:rsid w:val="000F36A5"/>
    <w:rsid w:val="000F5E80"/>
    <w:rsid w:val="00102388"/>
    <w:rsid w:val="00103C4C"/>
    <w:rsid w:val="00106397"/>
    <w:rsid w:val="00113FA6"/>
    <w:rsid w:val="00115EB1"/>
    <w:rsid w:val="00121D23"/>
    <w:rsid w:val="0012438D"/>
    <w:rsid w:val="001248A3"/>
    <w:rsid w:val="00124F32"/>
    <w:rsid w:val="00126483"/>
    <w:rsid w:val="00126A4E"/>
    <w:rsid w:val="0012758C"/>
    <w:rsid w:val="00127CC8"/>
    <w:rsid w:val="0013046A"/>
    <w:rsid w:val="0013080C"/>
    <w:rsid w:val="0013087E"/>
    <w:rsid w:val="00133198"/>
    <w:rsid w:val="00133C60"/>
    <w:rsid w:val="00135F26"/>
    <w:rsid w:val="00136D56"/>
    <w:rsid w:val="001379BA"/>
    <w:rsid w:val="0014398A"/>
    <w:rsid w:val="00145C68"/>
    <w:rsid w:val="00145F5B"/>
    <w:rsid w:val="00150EC7"/>
    <w:rsid w:val="00151531"/>
    <w:rsid w:val="001524A3"/>
    <w:rsid w:val="00152F83"/>
    <w:rsid w:val="001531C5"/>
    <w:rsid w:val="00153516"/>
    <w:rsid w:val="00155EF5"/>
    <w:rsid w:val="00160A32"/>
    <w:rsid w:val="00161B73"/>
    <w:rsid w:val="00161E02"/>
    <w:rsid w:val="00163256"/>
    <w:rsid w:val="00163CC0"/>
    <w:rsid w:val="001642E2"/>
    <w:rsid w:val="0016606B"/>
    <w:rsid w:val="00167F2B"/>
    <w:rsid w:val="0017179F"/>
    <w:rsid w:val="00171812"/>
    <w:rsid w:val="00172149"/>
    <w:rsid w:val="00173499"/>
    <w:rsid w:val="00175673"/>
    <w:rsid w:val="00176431"/>
    <w:rsid w:val="0017797B"/>
    <w:rsid w:val="00181C0B"/>
    <w:rsid w:val="00182367"/>
    <w:rsid w:val="0018290E"/>
    <w:rsid w:val="001835E1"/>
    <w:rsid w:val="00183C8E"/>
    <w:rsid w:val="00190402"/>
    <w:rsid w:val="001912A8"/>
    <w:rsid w:val="0019278B"/>
    <w:rsid w:val="0019421B"/>
    <w:rsid w:val="001946B1"/>
    <w:rsid w:val="00194E14"/>
    <w:rsid w:val="001965AF"/>
    <w:rsid w:val="00196D7C"/>
    <w:rsid w:val="00197A23"/>
    <w:rsid w:val="001A13D5"/>
    <w:rsid w:val="001A2970"/>
    <w:rsid w:val="001A3026"/>
    <w:rsid w:val="001A3D8D"/>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9E8"/>
    <w:rsid w:val="001B3D47"/>
    <w:rsid w:val="001B45F2"/>
    <w:rsid w:val="001B4689"/>
    <w:rsid w:val="001B4ACB"/>
    <w:rsid w:val="001B56F3"/>
    <w:rsid w:val="001B5E15"/>
    <w:rsid w:val="001B75E6"/>
    <w:rsid w:val="001B792D"/>
    <w:rsid w:val="001B7D84"/>
    <w:rsid w:val="001C2942"/>
    <w:rsid w:val="001C2E2C"/>
    <w:rsid w:val="001C31DE"/>
    <w:rsid w:val="001C64DB"/>
    <w:rsid w:val="001C6C57"/>
    <w:rsid w:val="001C7528"/>
    <w:rsid w:val="001D0AF0"/>
    <w:rsid w:val="001D0FE0"/>
    <w:rsid w:val="001D11CE"/>
    <w:rsid w:val="001D16C2"/>
    <w:rsid w:val="001D1B62"/>
    <w:rsid w:val="001D3F48"/>
    <w:rsid w:val="001D483C"/>
    <w:rsid w:val="001D763B"/>
    <w:rsid w:val="001E2E5B"/>
    <w:rsid w:val="001E37BA"/>
    <w:rsid w:val="001E3AE3"/>
    <w:rsid w:val="001E7CA0"/>
    <w:rsid w:val="001F0078"/>
    <w:rsid w:val="001F0E92"/>
    <w:rsid w:val="001F2B40"/>
    <w:rsid w:val="001F4083"/>
    <w:rsid w:val="001F60D5"/>
    <w:rsid w:val="001F627F"/>
    <w:rsid w:val="001F6E49"/>
    <w:rsid w:val="001F7023"/>
    <w:rsid w:val="00200174"/>
    <w:rsid w:val="00205259"/>
    <w:rsid w:val="0020665C"/>
    <w:rsid w:val="00210347"/>
    <w:rsid w:val="00210392"/>
    <w:rsid w:val="00210729"/>
    <w:rsid w:val="00211BAC"/>
    <w:rsid w:val="00211BD9"/>
    <w:rsid w:val="00211D1A"/>
    <w:rsid w:val="002154B2"/>
    <w:rsid w:val="002170D6"/>
    <w:rsid w:val="002203EA"/>
    <w:rsid w:val="0022055B"/>
    <w:rsid w:val="0022067C"/>
    <w:rsid w:val="002207C3"/>
    <w:rsid w:val="0022370C"/>
    <w:rsid w:val="0022428B"/>
    <w:rsid w:val="00224D3E"/>
    <w:rsid w:val="002257FA"/>
    <w:rsid w:val="00225AB8"/>
    <w:rsid w:val="0022619C"/>
    <w:rsid w:val="00231D53"/>
    <w:rsid w:val="00234690"/>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5067"/>
    <w:rsid w:val="00256CE3"/>
    <w:rsid w:val="0025738E"/>
    <w:rsid w:val="002574CF"/>
    <w:rsid w:val="002628B9"/>
    <w:rsid w:val="002635D8"/>
    <w:rsid w:val="002644BC"/>
    <w:rsid w:val="00264B03"/>
    <w:rsid w:val="00265769"/>
    <w:rsid w:val="0026671D"/>
    <w:rsid w:val="00271E49"/>
    <w:rsid w:val="002722B3"/>
    <w:rsid w:val="0027234B"/>
    <w:rsid w:val="0027323D"/>
    <w:rsid w:val="0027474D"/>
    <w:rsid w:val="00274A7E"/>
    <w:rsid w:val="0027624D"/>
    <w:rsid w:val="00276918"/>
    <w:rsid w:val="00276ED1"/>
    <w:rsid w:val="0027792C"/>
    <w:rsid w:val="002852E8"/>
    <w:rsid w:val="002856F0"/>
    <w:rsid w:val="00285AF5"/>
    <w:rsid w:val="0028601A"/>
    <w:rsid w:val="0028709C"/>
    <w:rsid w:val="002913D0"/>
    <w:rsid w:val="00291D75"/>
    <w:rsid w:val="00291E23"/>
    <w:rsid w:val="00292BCA"/>
    <w:rsid w:val="0029371D"/>
    <w:rsid w:val="00293A62"/>
    <w:rsid w:val="002957AA"/>
    <w:rsid w:val="00295B67"/>
    <w:rsid w:val="00296709"/>
    <w:rsid w:val="002A05E8"/>
    <w:rsid w:val="002A0E76"/>
    <w:rsid w:val="002A1F3E"/>
    <w:rsid w:val="002A2C2E"/>
    <w:rsid w:val="002A4520"/>
    <w:rsid w:val="002A4B6C"/>
    <w:rsid w:val="002A51DC"/>
    <w:rsid w:val="002A6CE5"/>
    <w:rsid w:val="002B0ECF"/>
    <w:rsid w:val="002B166E"/>
    <w:rsid w:val="002B4A42"/>
    <w:rsid w:val="002B7CE7"/>
    <w:rsid w:val="002C12FA"/>
    <w:rsid w:val="002C21F9"/>
    <w:rsid w:val="002C23B7"/>
    <w:rsid w:val="002C26EB"/>
    <w:rsid w:val="002C321E"/>
    <w:rsid w:val="002C42E0"/>
    <w:rsid w:val="002C4F1C"/>
    <w:rsid w:val="002C518C"/>
    <w:rsid w:val="002C53DD"/>
    <w:rsid w:val="002C7A79"/>
    <w:rsid w:val="002C7B46"/>
    <w:rsid w:val="002D0F51"/>
    <w:rsid w:val="002D12AC"/>
    <w:rsid w:val="002D2538"/>
    <w:rsid w:val="002D27DC"/>
    <w:rsid w:val="002D4621"/>
    <w:rsid w:val="002D5027"/>
    <w:rsid w:val="002D6206"/>
    <w:rsid w:val="002D7BCF"/>
    <w:rsid w:val="002E0043"/>
    <w:rsid w:val="002E01FE"/>
    <w:rsid w:val="002E029C"/>
    <w:rsid w:val="002E1661"/>
    <w:rsid w:val="002E40A2"/>
    <w:rsid w:val="002E47B4"/>
    <w:rsid w:val="002E5671"/>
    <w:rsid w:val="002E577E"/>
    <w:rsid w:val="002E5C69"/>
    <w:rsid w:val="002E791C"/>
    <w:rsid w:val="002E7C0C"/>
    <w:rsid w:val="002F105C"/>
    <w:rsid w:val="002F11A3"/>
    <w:rsid w:val="002F33F9"/>
    <w:rsid w:val="002F3610"/>
    <w:rsid w:val="002F3FE5"/>
    <w:rsid w:val="002F4E8C"/>
    <w:rsid w:val="0030104F"/>
    <w:rsid w:val="0030114D"/>
    <w:rsid w:val="00302B74"/>
    <w:rsid w:val="003032B7"/>
    <w:rsid w:val="0030390D"/>
    <w:rsid w:val="00303DF7"/>
    <w:rsid w:val="0030550A"/>
    <w:rsid w:val="00306DD7"/>
    <w:rsid w:val="00311969"/>
    <w:rsid w:val="00311B2F"/>
    <w:rsid w:val="003129E8"/>
    <w:rsid w:val="00314FE6"/>
    <w:rsid w:val="00315AB7"/>
    <w:rsid w:val="00316A0B"/>
    <w:rsid w:val="00322F17"/>
    <w:rsid w:val="00324867"/>
    <w:rsid w:val="00324AFE"/>
    <w:rsid w:val="00324D01"/>
    <w:rsid w:val="00324D0F"/>
    <w:rsid w:val="003259CD"/>
    <w:rsid w:val="0032657A"/>
    <w:rsid w:val="00333E01"/>
    <w:rsid w:val="00333F6D"/>
    <w:rsid w:val="00335017"/>
    <w:rsid w:val="00335F28"/>
    <w:rsid w:val="00336B1D"/>
    <w:rsid w:val="00336D02"/>
    <w:rsid w:val="00337EB8"/>
    <w:rsid w:val="00340DAD"/>
    <w:rsid w:val="003419BE"/>
    <w:rsid w:val="00342936"/>
    <w:rsid w:val="00344A93"/>
    <w:rsid w:val="00345971"/>
    <w:rsid w:val="00345DE6"/>
    <w:rsid w:val="0034647B"/>
    <w:rsid w:val="00346606"/>
    <w:rsid w:val="00350382"/>
    <w:rsid w:val="00350891"/>
    <w:rsid w:val="00351682"/>
    <w:rsid w:val="003528A4"/>
    <w:rsid w:val="00353DC2"/>
    <w:rsid w:val="003540CB"/>
    <w:rsid w:val="00355210"/>
    <w:rsid w:val="00356017"/>
    <w:rsid w:val="00357F8C"/>
    <w:rsid w:val="00362067"/>
    <w:rsid w:val="00362075"/>
    <w:rsid w:val="00362839"/>
    <w:rsid w:val="0036440B"/>
    <w:rsid w:val="00373871"/>
    <w:rsid w:val="00374640"/>
    <w:rsid w:val="0037697F"/>
    <w:rsid w:val="00376D6C"/>
    <w:rsid w:val="0037707D"/>
    <w:rsid w:val="00377407"/>
    <w:rsid w:val="00377531"/>
    <w:rsid w:val="00381BB7"/>
    <w:rsid w:val="0038391A"/>
    <w:rsid w:val="00383B74"/>
    <w:rsid w:val="00385CAE"/>
    <w:rsid w:val="00387CCC"/>
    <w:rsid w:val="00391C77"/>
    <w:rsid w:val="00392734"/>
    <w:rsid w:val="00392B5E"/>
    <w:rsid w:val="00392C05"/>
    <w:rsid w:val="00393618"/>
    <w:rsid w:val="00393D41"/>
    <w:rsid w:val="003942ED"/>
    <w:rsid w:val="00395845"/>
    <w:rsid w:val="0039629C"/>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8BE"/>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8C9"/>
    <w:rsid w:val="00415754"/>
    <w:rsid w:val="00415D35"/>
    <w:rsid w:val="004162E3"/>
    <w:rsid w:val="00417A7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B"/>
    <w:rsid w:val="00440C50"/>
    <w:rsid w:val="0044128D"/>
    <w:rsid w:val="004419D3"/>
    <w:rsid w:val="00442BCF"/>
    <w:rsid w:val="0044337C"/>
    <w:rsid w:val="00443D72"/>
    <w:rsid w:val="00445790"/>
    <w:rsid w:val="004464AA"/>
    <w:rsid w:val="00446895"/>
    <w:rsid w:val="00447253"/>
    <w:rsid w:val="00450273"/>
    <w:rsid w:val="004509A5"/>
    <w:rsid w:val="00450EFE"/>
    <w:rsid w:val="00451B66"/>
    <w:rsid w:val="00453A77"/>
    <w:rsid w:val="004551F3"/>
    <w:rsid w:val="00455856"/>
    <w:rsid w:val="004563F1"/>
    <w:rsid w:val="0045675E"/>
    <w:rsid w:val="004602EC"/>
    <w:rsid w:val="004617A6"/>
    <w:rsid w:val="0046239D"/>
    <w:rsid w:val="00467FE9"/>
    <w:rsid w:val="00471542"/>
    <w:rsid w:val="00474025"/>
    <w:rsid w:val="00474E68"/>
    <w:rsid w:val="00475B76"/>
    <w:rsid w:val="00475E34"/>
    <w:rsid w:val="00476B67"/>
    <w:rsid w:val="0048008C"/>
    <w:rsid w:val="004809C9"/>
    <w:rsid w:val="00480BAD"/>
    <w:rsid w:val="00480C7E"/>
    <w:rsid w:val="00480E1C"/>
    <w:rsid w:val="0048184C"/>
    <w:rsid w:val="00486CF9"/>
    <w:rsid w:val="00487D95"/>
    <w:rsid w:val="0049187D"/>
    <w:rsid w:val="00492048"/>
    <w:rsid w:val="00493555"/>
    <w:rsid w:val="004966AF"/>
    <w:rsid w:val="004967A2"/>
    <w:rsid w:val="004967EC"/>
    <w:rsid w:val="00497CD3"/>
    <w:rsid w:val="00497EF6"/>
    <w:rsid w:val="004A067D"/>
    <w:rsid w:val="004A2D46"/>
    <w:rsid w:val="004A3955"/>
    <w:rsid w:val="004A39C5"/>
    <w:rsid w:val="004A3A35"/>
    <w:rsid w:val="004A46C4"/>
    <w:rsid w:val="004A4876"/>
    <w:rsid w:val="004A6FCA"/>
    <w:rsid w:val="004A74F0"/>
    <w:rsid w:val="004A75A0"/>
    <w:rsid w:val="004B02D9"/>
    <w:rsid w:val="004B05B2"/>
    <w:rsid w:val="004B0F48"/>
    <w:rsid w:val="004B2573"/>
    <w:rsid w:val="004B2B9D"/>
    <w:rsid w:val="004B2CFB"/>
    <w:rsid w:val="004B4489"/>
    <w:rsid w:val="004B44F4"/>
    <w:rsid w:val="004B506E"/>
    <w:rsid w:val="004C24BA"/>
    <w:rsid w:val="004C3412"/>
    <w:rsid w:val="004C4DAB"/>
    <w:rsid w:val="004C4E2A"/>
    <w:rsid w:val="004C56D1"/>
    <w:rsid w:val="004C572C"/>
    <w:rsid w:val="004C6B9C"/>
    <w:rsid w:val="004D0937"/>
    <w:rsid w:val="004D0E10"/>
    <w:rsid w:val="004D1BC4"/>
    <w:rsid w:val="004D2C35"/>
    <w:rsid w:val="004D2C76"/>
    <w:rsid w:val="004D3D62"/>
    <w:rsid w:val="004D4483"/>
    <w:rsid w:val="004D58D5"/>
    <w:rsid w:val="004D71AF"/>
    <w:rsid w:val="004D7301"/>
    <w:rsid w:val="004D7C89"/>
    <w:rsid w:val="004E43A4"/>
    <w:rsid w:val="004F12E7"/>
    <w:rsid w:val="004F1DB8"/>
    <w:rsid w:val="004F3292"/>
    <w:rsid w:val="004F345A"/>
    <w:rsid w:val="004F3EDB"/>
    <w:rsid w:val="004F55EC"/>
    <w:rsid w:val="004F61DD"/>
    <w:rsid w:val="00501673"/>
    <w:rsid w:val="00502569"/>
    <w:rsid w:val="005035F8"/>
    <w:rsid w:val="00506204"/>
    <w:rsid w:val="005102A5"/>
    <w:rsid w:val="00511171"/>
    <w:rsid w:val="005136CC"/>
    <w:rsid w:val="00513858"/>
    <w:rsid w:val="0051455E"/>
    <w:rsid w:val="00514B37"/>
    <w:rsid w:val="00514EEC"/>
    <w:rsid w:val="00521874"/>
    <w:rsid w:val="00521920"/>
    <w:rsid w:val="00523919"/>
    <w:rsid w:val="005246B1"/>
    <w:rsid w:val="0052757D"/>
    <w:rsid w:val="00527A8C"/>
    <w:rsid w:val="00530281"/>
    <w:rsid w:val="0053048D"/>
    <w:rsid w:val="00530B04"/>
    <w:rsid w:val="00531E03"/>
    <w:rsid w:val="005357FE"/>
    <w:rsid w:val="00536239"/>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7199"/>
    <w:rsid w:val="00557E24"/>
    <w:rsid w:val="00560593"/>
    <w:rsid w:val="00560E6F"/>
    <w:rsid w:val="0056163A"/>
    <w:rsid w:val="00562217"/>
    <w:rsid w:val="00563BE5"/>
    <w:rsid w:val="005644EF"/>
    <w:rsid w:val="00567397"/>
    <w:rsid w:val="005702B7"/>
    <w:rsid w:val="0057052D"/>
    <w:rsid w:val="005707E8"/>
    <w:rsid w:val="00570B4E"/>
    <w:rsid w:val="00571137"/>
    <w:rsid w:val="00571DF6"/>
    <w:rsid w:val="005740DF"/>
    <w:rsid w:val="00574FBD"/>
    <w:rsid w:val="00576E6E"/>
    <w:rsid w:val="005773BB"/>
    <w:rsid w:val="00580502"/>
    <w:rsid w:val="0058538B"/>
    <w:rsid w:val="005857C9"/>
    <w:rsid w:val="00585C83"/>
    <w:rsid w:val="0058632F"/>
    <w:rsid w:val="00586604"/>
    <w:rsid w:val="00586E35"/>
    <w:rsid w:val="005910C8"/>
    <w:rsid w:val="00591A9C"/>
    <w:rsid w:val="00596742"/>
    <w:rsid w:val="00597C03"/>
    <w:rsid w:val="005A005B"/>
    <w:rsid w:val="005A1F9D"/>
    <w:rsid w:val="005A21F6"/>
    <w:rsid w:val="005A2F5D"/>
    <w:rsid w:val="005A3157"/>
    <w:rsid w:val="005A3798"/>
    <w:rsid w:val="005A45B2"/>
    <w:rsid w:val="005A5726"/>
    <w:rsid w:val="005A67E5"/>
    <w:rsid w:val="005A7302"/>
    <w:rsid w:val="005A7B97"/>
    <w:rsid w:val="005A7C16"/>
    <w:rsid w:val="005B0F9F"/>
    <w:rsid w:val="005B5464"/>
    <w:rsid w:val="005B5BB4"/>
    <w:rsid w:val="005C042E"/>
    <w:rsid w:val="005C2844"/>
    <w:rsid w:val="005C30B9"/>
    <w:rsid w:val="005C611A"/>
    <w:rsid w:val="005C6D98"/>
    <w:rsid w:val="005C73FB"/>
    <w:rsid w:val="005C7752"/>
    <w:rsid w:val="005C7F3F"/>
    <w:rsid w:val="005D4792"/>
    <w:rsid w:val="005D5669"/>
    <w:rsid w:val="005D6266"/>
    <w:rsid w:val="005D6E9C"/>
    <w:rsid w:val="005E019B"/>
    <w:rsid w:val="005E2187"/>
    <w:rsid w:val="005E4ABC"/>
    <w:rsid w:val="005E4FE9"/>
    <w:rsid w:val="005E5696"/>
    <w:rsid w:val="005F19E0"/>
    <w:rsid w:val="005F57B5"/>
    <w:rsid w:val="005F5850"/>
    <w:rsid w:val="005F5A76"/>
    <w:rsid w:val="005F71EC"/>
    <w:rsid w:val="005F7AA1"/>
    <w:rsid w:val="006009E6"/>
    <w:rsid w:val="0060157A"/>
    <w:rsid w:val="00604FAE"/>
    <w:rsid w:val="006059DD"/>
    <w:rsid w:val="006064DF"/>
    <w:rsid w:val="0060695F"/>
    <w:rsid w:val="00606E8D"/>
    <w:rsid w:val="00607605"/>
    <w:rsid w:val="0061001E"/>
    <w:rsid w:val="00610B3C"/>
    <w:rsid w:val="00611027"/>
    <w:rsid w:val="00611E31"/>
    <w:rsid w:val="00612869"/>
    <w:rsid w:val="006132A6"/>
    <w:rsid w:val="006146EE"/>
    <w:rsid w:val="00617AD5"/>
    <w:rsid w:val="006200E5"/>
    <w:rsid w:val="00622319"/>
    <w:rsid w:val="00623394"/>
    <w:rsid w:val="0062416A"/>
    <w:rsid w:val="00624EFB"/>
    <w:rsid w:val="00625FB3"/>
    <w:rsid w:val="00626129"/>
    <w:rsid w:val="006321F6"/>
    <w:rsid w:val="00632A52"/>
    <w:rsid w:val="00634414"/>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7405"/>
    <w:rsid w:val="006605C2"/>
    <w:rsid w:val="00661864"/>
    <w:rsid w:val="00661B9C"/>
    <w:rsid w:val="006631A7"/>
    <w:rsid w:val="00663A00"/>
    <w:rsid w:val="00663B07"/>
    <w:rsid w:val="00664FA6"/>
    <w:rsid w:val="00665845"/>
    <w:rsid w:val="0066632E"/>
    <w:rsid w:val="006706DC"/>
    <w:rsid w:val="00671448"/>
    <w:rsid w:val="00675327"/>
    <w:rsid w:val="00676107"/>
    <w:rsid w:val="00680D1B"/>
    <w:rsid w:val="00681E5C"/>
    <w:rsid w:val="00681F38"/>
    <w:rsid w:val="006832A4"/>
    <w:rsid w:val="0068391C"/>
    <w:rsid w:val="0068419D"/>
    <w:rsid w:val="006846E9"/>
    <w:rsid w:val="00685303"/>
    <w:rsid w:val="006872DB"/>
    <w:rsid w:val="00687FA7"/>
    <w:rsid w:val="006906BE"/>
    <w:rsid w:val="00691999"/>
    <w:rsid w:val="00695ED2"/>
    <w:rsid w:val="0069784E"/>
    <w:rsid w:val="006A035C"/>
    <w:rsid w:val="006A1022"/>
    <w:rsid w:val="006A1A83"/>
    <w:rsid w:val="006A2C4B"/>
    <w:rsid w:val="006A2DA7"/>
    <w:rsid w:val="006A541C"/>
    <w:rsid w:val="006A55D2"/>
    <w:rsid w:val="006A5754"/>
    <w:rsid w:val="006A63D0"/>
    <w:rsid w:val="006B2CEE"/>
    <w:rsid w:val="006B42B8"/>
    <w:rsid w:val="006B4851"/>
    <w:rsid w:val="006B6104"/>
    <w:rsid w:val="006B6E87"/>
    <w:rsid w:val="006B763D"/>
    <w:rsid w:val="006B7BC4"/>
    <w:rsid w:val="006B7EDD"/>
    <w:rsid w:val="006C1C28"/>
    <w:rsid w:val="006C2F62"/>
    <w:rsid w:val="006C31AA"/>
    <w:rsid w:val="006C5E5C"/>
    <w:rsid w:val="006C6627"/>
    <w:rsid w:val="006C6B69"/>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1F4B"/>
    <w:rsid w:val="006E3709"/>
    <w:rsid w:val="006E3C13"/>
    <w:rsid w:val="006F0139"/>
    <w:rsid w:val="006F085E"/>
    <w:rsid w:val="006F214B"/>
    <w:rsid w:val="006F27AD"/>
    <w:rsid w:val="006F28C7"/>
    <w:rsid w:val="006F4D73"/>
    <w:rsid w:val="006F52ED"/>
    <w:rsid w:val="006F6542"/>
    <w:rsid w:val="006F77C7"/>
    <w:rsid w:val="007001DD"/>
    <w:rsid w:val="00700B46"/>
    <w:rsid w:val="00700F12"/>
    <w:rsid w:val="00701B3E"/>
    <w:rsid w:val="0070443C"/>
    <w:rsid w:val="0070576D"/>
    <w:rsid w:val="007057D3"/>
    <w:rsid w:val="00706395"/>
    <w:rsid w:val="00706C40"/>
    <w:rsid w:val="00706CFB"/>
    <w:rsid w:val="007112C0"/>
    <w:rsid w:val="00711407"/>
    <w:rsid w:val="00712407"/>
    <w:rsid w:val="00712477"/>
    <w:rsid w:val="00714E9E"/>
    <w:rsid w:val="00720907"/>
    <w:rsid w:val="00721345"/>
    <w:rsid w:val="007217B9"/>
    <w:rsid w:val="00721A54"/>
    <w:rsid w:val="00721C75"/>
    <w:rsid w:val="007228DB"/>
    <w:rsid w:val="00723862"/>
    <w:rsid w:val="00724541"/>
    <w:rsid w:val="00725D92"/>
    <w:rsid w:val="00726523"/>
    <w:rsid w:val="0072705B"/>
    <w:rsid w:val="00727DB3"/>
    <w:rsid w:val="007305B4"/>
    <w:rsid w:val="00731859"/>
    <w:rsid w:val="00732CD0"/>
    <w:rsid w:val="00733275"/>
    <w:rsid w:val="00735A4C"/>
    <w:rsid w:val="00735CB1"/>
    <w:rsid w:val="00735CF0"/>
    <w:rsid w:val="00736D00"/>
    <w:rsid w:val="00740904"/>
    <w:rsid w:val="00741B0E"/>
    <w:rsid w:val="00741F74"/>
    <w:rsid w:val="00742672"/>
    <w:rsid w:val="00742E8A"/>
    <w:rsid w:val="007431B7"/>
    <w:rsid w:val="007434C8"/>
    <w:rsid w:val="00745482"/>
    <w:rsid w:val="007459F5"/>
    <w:rsid w:val="00746DDC"/>
    <w:rsid w:val="007475AA"/>
    <w:rsid w:val="0075061C"/>
    <w:rsid w:val="00752B28"/>
    <w:rsid w:val="00754727"/>
    <w:rsid w:val="00754D25"/>
    <w:rsid w:val="00755961"/>
    <w:rsid w:val="00756A18"/>
    <w:rsid w:val="00757590"/>
    <w:rsid w:val="00764409"/>
    <w:rsid w:val="007652CE"/>
    <w:rsid w:val="0076572D"/>
    <w:rsid w:val="00765936"/>
    <w:rsid w:val="00766471"/>
    <w:rsid w:val="00766C83"/>
    <w:rsid w:val="00767474"/>
    <w:rsid w:val="00767D6C"/>
    <w:rsid w:val="0077091B"/>
    <w:rsid w:val="00770A1E"/>
    <w:rsid w:val="00773FD6"/>
    <w:rsid w:val="0077416A"/>
    <w:rsid w:val="0077569C"/>
    <w:rsid w:val="00775A32"/>
    <w:rsid w:val="007765E3"/>
    <w:rsid w:val="00776C17"/>
    <w:rsid w:val="00777BE6"/>
    <w:rsid w:val="007814D5"/>
    <w:rsid w:val="007816ED"/>
    <w:rsid w:val="007821CF"/>
    <w:rsid w:val="00783DAC"/>
    <w:rsid w:val="00784500"/>
    <w:rsid w:val="00785112"/>
    <w:rsid w:val="00786700"/>
    <w:rsid w:val="007878B9"/>
    <w:rsid w:val="007903E2"/>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768C"/>
    <w:rsid w:val="007A7853"/>
    <w:rsid w:val="007B0C7D"/>
    <w:rsid w:val="007B1426"/>
    <w:rsid w:val="007B2BAC"/>
    <w:rsid w:val="007B2CAC"/>
    <w:rsid w:val="007B44FB"/>
    <w:rsid w:val="007B4F0C"/>
    <w:rsid w:val="007C0E38"/>
    <w:rsid w:val="007C1421"/>
    <w:rsid w:val="007C18E3"/>
    <w:rsid w:val="007C1DEB"/>
    <w:rsid w:val="007C459A"/>
    <w:rsid w:val="007C4E08"/>
    <w:rsid w:val="007C5146"/>
    <w:rsid w:val="007D16A5"/>
    <w:rsid w:val="007D2F4C"/>
    <w:rsid w:val="007D3DFF"/>
    <w:rsid w:val="007D3F38"/>
    <w:rsid w:val="007D4DB8"/>
    <w:rsid w:val="007D630E"/>
    <w:rsid w:val="007E2197"/>
    <w:rsid w:val="007E3304"/>
    <w:rsid w:val="007E4D1F"/>
    <w:rsid w:val="007E4D70"/>
    <w:rsid w:val="007F14BA"/>
    <w:rsid w:val="007F1E48"/>
    <w:rsid w:val="007F2477"/>
    <w:rsid w:val="007F3D79"/>
    <w:rsid w:val="007F40E3"/>
    <w:rsid w:val="007F4313"/>
    <w:rsid w:val="007F4605"/>
    <w:rsid w:val="007F5767"/>
    <w:rsid w:val="007F6C7D"/>
    <w:rsid w:val="00800859"/>
    <w:rsid w:val="00800FE4"/>
    <w:rsid w:val="00801249"/>
    <w:rsid w:val="008026F6"/>
    <w:rsid w:val="00803F84"/>
    <w:rsid w:val="008043AC"/>
    <w:rsid w:val="00805161"/>
    <w:rsid w:val="00805B61"/>
    <w:rsid w:val="00806070"/>
    <w:rsid w:val="00806EE8"/>
    <w:rsid w:val="00807B37"/>
    <w:rsid w:val="00807D32"/>
    <w:rsid w:val="00807F24"/>
    <w:rsid w:val="00810E7C"/>
    <w:rsid w:val="00811D89"/>
    <w:rsid w:val="00812EE9"/>
    <w:rsid w:val="0081369C"/>
    <w:rsid w:val="00813987"/>
    <w:rsid w:val="00814500"/>
    <w:rsid w:val="00814B15"/>
    <w:rsid w:val="00820632"/>
    <w:rsid w:val="008211DF"/>
    <w:rsid w:val="00821E08"/>
    <w:rsid w:val="00822F77"/>
    <w:rsid w:val="0082354A"/>
    <w:rsid w:val="00823BEF"/>
    <w:rsid w:val="008255D2"/>
    <w:rsid w:val="00831941"/>
    <w:rsid w:val="00832ADC"/>
    <w:rsid w:val="00833AF7"/>
    <w:rsid w:val="00834023"/>
    <w:rsid w:val="00834026"/>
    <w:rsid w:val="00834220"/>
    <w:rsid w:val="008346D1"/>
    <w:rsid w:val="00834C3E"/>
    <w:rsid w:val="00835579"/>
    <w:rsid w:val="00836F9B"/>
    <w:rsid w:val="00837487"/>
    <w:rsid w:val="00840D16"/>
    <w:rsid w:val="00843B20"/>
    <w:rsid w:val="00844106"/>
    <w:rsid w:val="00844B27"/>
    <w:rsid w:val="00844D29"/>
    <w:rsid w:val="00846195"/>
    <w:rsid w:val="00846BE5"/>
    <w:rsid w:val="00846D30"/>
    <w:rsid w:val="00846FA0"/>
    <w:rsid w:val="008479B6"/>
    <w:rsid w:val="00850182"/>
    <w:rsid w:val="00851FAF"/>
    <w:rsid w:val="00852061"/>
    <w:rsid w:val="00852E07"/>
    <w:rsid w:val="00855AA5"/>
    <w:rsid w:val="00856B9B"/>
    <w:rsid w:val="00857043"/>
    <w:rsid w:val="00857671"/>
    <w:rsid w:val="0086002F"/>
    <w:rsid w:val="0086032D"/>
    <w:rsid w:val="00861906"/>
    <w:rsid w:val="00861B01"/>
    <w:rsid w:val="008634F1"/>
    <w:rsid w:val="00863D9E"/>
    <w:rsid w:val="00863F9D"/>
    <w:rsid w:val="008645F9"/>
    <w:rsid w:val="00865725"/>
    <w:rsid w:val="0086628A"/>
    <w:rsid w:val="00866BF8"/>
    <w:rsid w:val="00867C0D"/>
    <w:rsid w:val="00871279"/>
    <w:rsid w:val="008716A7"/>
    <w:rsid w:val="00872913"/>
    <w:rsid w:val="008729BA"/>
    <w:rsid w:val="00873F82"/>
    <w:rsid w:val="00874B7B"/>
    <w:rsid w:val="00874F25"/>
    <w:rsid w:val="00875B3F"/>
    <w:rsid w:val="00880970"/>
    <w:rsid w:val="00880CA5"/>
    <w:rsid w:val="00880CBC"/>
    <w:rsid w:val="00881609"/>
    <w:rsid w:val="008817B1"/>
    <w:rsid w:val="008832FA"/>
    <w:rsid w:val="008834BB"/>
    <w:rsid w:val="008840FA"/>
    <w:rsid w:val="008846D2"/>
    <w:rsid w:val="008862EB"/>
    <w:rsid w:val="00887A41"/>
    <w:rsid w:val="008906BA"/>
    <w:rsid w:val="00890EF1"/>
    <w:rsid w:val="00890F95"/>
    <w:rsid w:val="0089311A"/>
    <w:rsid w:val="0089384D"/>
    <w:rsid w:val="00893A0F"/>
    <w:rsid w:val="00893B17"/>
    <w:rsid w:val="008946C3"/>
    <w:rsid w:val="008948E0"/>
    <w:rsid w:val="0089528C"/>
    <w:rsid w:val="008971C2"/>
    <w:rsid w:val="00897B81"/>
    <w:rsid w:val="00897CEC"/>
    <w:rsid w:val="008A0089"/>
    <w:rsid w:val="008A339E"/>
    <w:rsid w:val="008A51DB"/>
    <w:rsid w:val="008B034D"/>
    <w:rsid w:val="008B0BBC"/>
    <w:rsid w:val="008B13FB"/>
    <w:rsid w:val="008B245C"/>
    <w:rsid w:val="008B3FD9"/>
    <w:rsid w:val="008B40B1"/>
    <w:rsid w:val="008B4153"/>
    <w:rsid w:val="008B4F64"/>
    <w:rsid w:val="008B5356"/>
    <w:rsid w:val="008B609A"/>
    <w:rsid w:val="008B7927"/>
    <w:rsid w:val="008B7CDC"/>
    <w:rsid w:val="008C4770"/>
    <w:rsid w:val="008C4CE7"/>
    <w:rsid w:val="008C5719"/>
    <w:rsid w:val="008C6AD1"/>
    <w:rsid w:val="008C6EFA"/>
    <w:rsid w:val="008C71B5"/>
    <w:rsid w:val="008E1F76"/>
    <w:rsid w:val="008E36B3"/>
    <w:rsid w:val="008E431F"/>
    <w:rsid w:val="008E5E12"/>
    <w:rsid w:val="008F0D2A"/>
    <w:rsid w:val="008F12D4"/>
    <w:rsid w:val="008F17A0"/>
    <w:rsid w:val="008F1814"/>
    <w:rsid w:val="008F23EF"/>
    <w:rsid w:val="008F386F"/>
    <w:rsid w:val="008F48E1"/>
    <w:rsid w:val="008F5BD0"/>
    <w:rsid w:val="008F5E3A"/>
    <w:rsid w:val="008F7B36"/>
    <w:rsid w:val="009003FE"/>
    <w:rsid w:val="009009CC"/>
    <w:rsid w:val="00901955"/>
    <w:rsid w:val="00903C95"/>
    <w:rsid w:val="00904272"/>
    <w:rsid w:val="009046D4"/>
    <w:rsid w:val="00904793"/>
    <w:rsid w:val="009058DB"/>
    <w:rsid w:val="00906521"/>
    <w:rsid w:val="0091026E"/>
    <w:rsid w:val="00910368"/>
    <w:rsid w:val="009104F7"/>
    <w:rsid w:val="0091058D"/>
    <w:rsid w:val="00911711"/>
    <w:rsid w:val="00913858"/>
    <w:rsid w:val="00913A0F"/>
    <w:rsid w:val="00914959"/>
    <w:rsid w:val="00914BBC"/>
    <w:rsid w:val="00915877"/>
    <w:rsid w:val="00915CE6"/>
    <w:rsid w:val="009162DA"/>
    <w:rsid w:val="009168A1"/>
    <w:rsid w:val="00917583"/>
    <w:rsid w:val="00917849"/>
    <w:rsid w:val="00917EEC"/>
    <w:rsid w:val="0092106C"/>
    <w:rsid w:val="009219E4"/>
    <w:rsid w:val="00923BC4"/>
    <w:rsid w:val="00924681"/>
    <w:rsid w:val="00925373"/>
    <w:rsid w:val="0092622E"/>
    <w:rsid w:val="00926605"/>
    <w:rsid w:val="00926FC3"/>
    <w:rsid w:val="00930877"/>
    <w:rsid w:val="00930AFE"/>
    <w:rsid w:val="00930D20"/>
    <w:rsid w:val="00931052"/>
    <w:rsid w:val="009314F2"/>
    <w:rsid w:val="0093228F"/>
    <w:rsid w:val="00937012"/>
    <w:rsid w:val="0094003D"/>
    <w:rsid w:val="0094231C"/>
    <w:rsid w:val="0094273F"/>
    <w:rsid w:val="009439B0"/>
    <w:rsid w:val="0094403C"/>
    <w:rsid w:val="0094555E"/>
    <w:rsid w:val="00945CB0"/>
    <w:rsid w:val="0094667E"/>
    <w:rsid w:val="00946A66"/>
    <w:rsid w:val="00951188"/>
    <w:rsid w:val="00951974"/>
    <w:rsid w:val="00951AF4"/>
    <w:rsid w:val="00951C2B"/>
    <w:rsid w:val="00954E07"/>
    <w:rsid w:val="00955CBA"/>
    <w:rsid w:val="00956A95"/>
    <w:rsid w:val="009571C0"/>
    <w:rsid w:val="0095732E"/>
    <w:rsid w:val="00957E6F"/>
    <w:rsid w:val="00960F2F"/>
    <w:rsid w:val="009634F6"/>
    <w:rsid w:val="00963B5E"/>
    <w:rsid w:val="00963FA0"/>
    <w:rsid w:val="0096491F"/>
    <w:rsid w:val="00964FCB"/>
    <w:rsid w:val="009703E4"/>
    <w:rsid w:val="00970DEF"/>
    <w:rsid w:val="00974765"/>
    <w:rsid w:val="00974E95"/>
    <w:rsid w:val="00974FC0"/>
    <w:rsid w:val="009753ED"/>
    <w:rsid w:val="00975F2D"/>
    <w:rsid w:val="00976962"/>
    <w:rsid w:val="00977BF5"/>
    <w:rsid w:val="00981F74"/>
    <w:rsid w:val="0098302D"/>
    <w:rsid w:val="00983E36"/>
    <w:rsid w:val="009869B3"/>
    <w:rsid w:val="00987608"/>
    <w:rsid w:val="00987786"/>
    <w:rsid w:val="00990879"/>
    <w:rsid w:val="009910F1"/>
    <w:rsid w:val="00992BC0"/>
    <w:rsid w:val="00992CF7"/>
    <w:rsid w:val="009940B1"/>
    <w:rsid w:val="009943A0"/>
    <w:rsid w:val="009953BC"/>
    <w:rsid w:val="0099543E"/>
    <w:rsid w:val="009963D2"/>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BDC"/>
    <w:rsid w:val="009B3BE7"/>
    <w:rsid w:val="009B5F5D"/>
    <w:rsid w:val="009B6089"/>
    <w:rsid w:val="009B6201"/>
    <w:rsid w:val="009B73BA"/>
    <w:rsid w:val="009C0EEA"/>
    <w:rsid w:val="009C10D9"/>
    <w:rsid w:val="009C20A2"/>
    <w:rsid w:val="009C425A"/>
    <w:rsid w:val="009C4F43"/>
    <w:rsid w:val="009C5CA7"/>
    <w:rsid w:val="009C6048"/>
    <w:rsid w:val="009D03F8"/>
    <w:rsid w:val="009D1DF4"/>
    <w:rsid w:val="009D3103"/>
    <w:rsid w:val="009D3B0A"/>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B7F"/>
    <w:rsid w:val="009F33D5"/>
    <w:rsid w:val="009F55F9"/>
    <w:rsid w:val="009F5CC0"/>
    <w:rsid w:val="009F6F8B"/>
    <w:rsid w:val="009F7164"/>
    <w:rsid w:val="009F7CE4"/>
    <w:rsid w:val="00A02F0A"/>
    <w:rsid w:val="00A06A53"/>
    <w:rsid w:val="00A06A54"/>
    <w:rsid w:val="00A103E8"/>
    <w:rsid w:val="00A1074D"/>
    <w:rsid w:val="00A10863"/>
    <w:rsid w:val="00A11172"/>
    <w:rsid w:val="00A118F3"/>
    <w:rsid w:val="00A1273B"/>
    <w:rsid w:val="00A127DD"/>
    <w:rsid w:val="00A12C35"/>
    <w:rsid w:val="00A12D4A"/>
    <w:rsid w:val="00A142E7"/>
    <w:rsid w:val="00A14E6C"/>
    <w:rsid w:val="00A15118"/>
    <w:rsid w:val="00A16482"/>
    <w:rsid w:val="00A167EC"/>
    <w:rsid w:val="00A16D01"/>
    <w:rsid w:val="00A172E6"/>
    <w:rsid w:val="00A1737C"/>
    <w:rsid w:val="00A17D1C"/>
    <w:rsid w:val="00A20584"/>
    <w:rsid w:val="00A20941"/>
    <w:rsid w:val="00A209A2"/>
    <w:rsid w:val="00A22611"/>
    <w:rsid w:val="00A24C8D"/>
    <w:rsid w:val="00A25718"/>
    <w:rsid w:val="00A26850"/>
    <w:rsid w:val="00A26F15"/>
    <w:rsid w:val="00A27651"/>
    <w:rsid w:val="00A277D0"/>
    <w:rsid w:val="00A30CB3"/>
    <w:rsid w:val="00A30E37"/>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3597"/>
    <w:rsid w:val="00A63635"/>
    <w:rsid w:val="00A644BE"/>
    <w:rsid w:val="00A66CEE"/>
    <w:rsid w:val="00A6703C"/>
    <w:rsid w:val="00A7007B"/>
    <w:rsid w:val="00A70B68"/>
    <w:rsid w:val="00A71623"/>
    <w:rsid w:val="00A7358E"/>
    <w:rsid w:val="00A736C1"/>
    <w:rsid w:val="00A73BD7"/>
    <w:rsid w:val="00A74A56"/>
    <w:rsid w:val="00A772AA"/>
    <w:rsid w:val="00A80AF1"/>
    <w:rsid w:val="00A84B87"/>
    <w:rsid w:val="00A84D4B"/>
    <w:rsid w:val="00A84FD0"/>
    <w:rsid w:val="00A8592D"/>
    <w:rsid w:val="00A8629D"/>
    <w:rsid w:val="00A87E7C"/>
    <w:rsid w:val="00A905FC"/>
    <w:rsid w:val="00A90D08"/>
    <w:rsid w:val="00A926AC"/>
    <w:rsid w:val="00A93FFF"/>
    <w:rsid w:val="00A95746"/>
    <w:rsid w:val="00A9630A"/>
    <w:rsid w:val="00A96D45"/>
    <w:rsid w:val="00A97045"/>
    <w:rsid w:val="00A973EE"/>
    <w:rsid w:val="00AA1149"/>
    <w:rsid w:val="00AA18DD"/>
    <w:rsid w:val="00AA1F91"/>
    <w:rsid w:val="00AA3687"/>
    <w:rsid w:val="00AA3F5C"/>
    <w:rsid w:val="00AA4A07"/>
    <w:rsid w:val="00AA5CE1"/>
    <w:rsid w:val="00AA6DDA"/>
    <w:rsid w:val="00AB0935"/>
    <w:rsid w:val="00AB184B"/>
    <w:rsid w:val="00AB226B"/>
    <w:rsid w:val="00AB2D9E"/>
    <w:rsid w:val="00AB4404"/>
    <w:rsid w:val="00AB542C"/>
    <w:rsid w:val="00AB603C"/>
    <w:rsid w:val="00AB797B"/>
    <w:rsid w:val="00AC0375"/>
    <w:rsid w:val="00AC154C"/>
    <w:rsid w:val="00AC21EE"/>
    <w:rsid w:val="00AC3B22"/>
    <w:rsid w:val="00AC4101"/>
    <w:rsid w:val="00AC5597"/>
    <w:rsid w:val="00AC6D9F"/>
    <w:rsid w:val="00AC71C4"/>
    <w:rsid w:val="00AD0116"/>
    <w:rsid w:val="00AD18E9"/>
    <w:rsid w:val="00AD1B42"/>
    <w:rsid w:val="00AD20C0"/>
    <w:rsid w:val="00AD2871"/>
    <w:rsid w:val="00AD322C"/>
    <w:rsid w:val="00AD4B84"/>
    <w:rsid w:val="00AD5D06"/>
    <w:rsid w:val="00AD6E4A"/>
    <w:rsid w:val="00AD7A0D"/>
    <w:rsid w:val="00AE23BE"/>
    <w:rsid w:val="00AE2D75"/>
    <w:rsid w:val="00AE2EAC"/>
    <w:rsid w:val="00AE2FC6"/>
    <w:rsid w:val="00AE5772"/>
    <w:rsid w:val="00AF0AC0"/>
    <w:rsid w:val="00AF16E0"/>
    <w:rsid w:val="00AF4CA9"/>
    <w:rsid w:val="00AF5B52"/>
    <w:rsid w:val="00AF7879"/>
    <w:rsid w:val="00AF79BB"/>
    <w:rsid w:val="00B00818"/>
    <w:rsid w:val="00B008BF"/>
    <w:rsid w:val="00B052BA"/>
    <w:rsid w:val="00B05A28"/>
    <w:rsid w:val="00B07460"/>
    <w:rsid w:val="00B078C7"/>
    <w:rsid w:val="00B1022B"/>
    <w:rsid w:val="00B10338"/>
    <w:rsid w:val="00B1151C"/>
    <w:rsid w:val="00B11E06"/>
    <w:rsid w:val="00B13099"/>
    <w:rsid w:val="00B1397D"/>
    <w:rsid w:val="00B16127"/>
    <w:rsid w:val="00B16978"/>
    <w:rsid w:val="00B16BE4"/>
    <w:rsid w:val="00B17EBB"/>
    <w:rsid w:val="00B237C6"/>
    <w:rsid w:val="00B23DB5"/>
    <w:rsid w:val="00B24A6F"/>
    <w:rsid w:val="00B260D9"/>
    <w:rsid w:val="00B278DB"/>
    <w:rsid w:val="00B30D4F"/>
    <w:rsid w:val="00B30D5C"/>
    <w:rsid w:val="00B32894"/>
    <w:rsid w:val="00B341B7"/>
    <w:rsid w:val="00B3434E"/>
    <w:rsid w:val="00B343BB"/>
    <w:rsid w:val="00B34A3E"/>
    <w:rsid w:val="00B351FD"/>
    <w:rsid w:val="00B35312"/>
    <w:rsid w:val="00B35BFD"/>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BB4"/>
    <w:rsid w:val="00B54256"/>
    <w:rsid w:val="00B545F4"/>
    <w:rsid w:val="00B5496F"/>
    <w:rsid w:val="00B56303"/>
    <w:rsid w:val="00B56D7B"/>
    <w:rsid w:val="00B573DA"/>
    <w:rsid w:val="00B57599"/>
    <w:rsid w:val="00B57FB2"/>
    <w:rsid w:val="00B602A9"/>
    <w:rsid w:val="00B611E6"/>
    <w:rsid w:val="00B61F2F"/>
    <w:rsid w:val="00B62A0F"/>
    <w:rsid w:val="00B64F62"/>
    <w:rsid w:val="00B65321"/>
    <w:rsid w:val="00B65D3A"/>
    <w:rsid w:val="00B66898"/>
    <w:rsid w:val="00B7030E"/>
    <w:rsid w:val="00B7062A"/>
    <w:rsid w:val="00B70EE0"/>
    <w:rsid w:val="00B7164C"/>
    <w:rsid w:val="00B71CA5"/>
    <w:rsid w:val="00B807AB"/>
    <w:rsid w:val="00B80F53"/>
    <w:rsid w:val="00B8152D"/>
    <w:rsid w:val="00B82E26"/>
    <w:rsid w:val="00B910F3"/>
    <w:rsid w:val="00B91A7C"/>
    <w:rsid w:val="00B92E02"/>
    <w:rsid w:val="00B93F2D"/>
    <w:rsid w:val="00B95AC6"/>
    <w:rsid w:val="00B95FBC"/>
    <w:rsid w:val="00B97C44"/>
    <w:rsid w:val="00BA05AE"/>
    <w:rsid w:val="00BA0B1C"/>
    <w:rsid w:val="00BA1CB0"/>
    <w:rsid w:val="00BA22F7"/>
    <w:rsid w:val="00BA2FA3"/>
    <w:rsid w:val="00BA46E0"/>
    <w:rsid w:val="00BA6418"/>
    <w:rsid w:val="00BA7D18"/>
    <w:rsid w:val="00BB3A8F"/>
    <w:rsid w:val="00BB4412"/>
    <w:rsid w:val="00BB5572"/>
    <w:rsid w:val="00BB6DB1"/>
    <w:rsid w:val="00BC0ED1"/>
    <w:rsid w:val="00BC1F96"/>
    <w:rsid w:val="00BC2214"/>
    <w:rsid w:val="00BC2543"/>
    <w:rsid w:val="00BC2A83"/>
    <w:rsid w:val="00BD0D15"/>
    <w:rsid w:val="00BD33EA"/>
    <w:rsid w:val="00BD4901"/>
    <w:rsid w:val="00BD4FDC"/>
    <w:rsid w:val="00BD5425"/>
    <w:rsid w:val="00BD6D09"/>
    <w:rsid w:val="00BE06A4"/>
    <w:rsid w:val="00BE3658"/>
    <w:rsid w:val="00BE5E8F"/>
    <w:rsid w:val="00BE6F6A"/>
    <w:rsid w:val="00BE7CDB"/>
    <w:rsid w:val="00BF0332"/>
    <w:rsid w:val="00BF2BFE"/>
    <w:rsid w:val="00BF435A"/>
    <w:rsid w:val="00BF5FCC"/>
    <w:rsid w:val="00BF7001"/>
    <w:rsid w:val="00C0256C"/>
    <w:rsid w:val="00C069A2"/>
    <w:rsid w:val="00C069EC"/>
    <w:rsid w:val="00C115BE"/>
    <w:rsid w:val="00C11C6D"/>
    <w:rsid w:val="00C17416"/>
    <w:rsid w:val="00C1748F"/>
    <w:rsid w:val="00C201F2"/>
    <w:rsid w:val="00C21125"/>
    <w:rsid w:val="00C214A9"/>
    <w:rsid w:val="00C21706"/>
    <w:rsid w:val="00C2206B"/>
    <w:rsid w:val="00C221D5"/>
    <w:rsid w:val="00C2280A"/>
    <w:rsid w:val="00C23D12"/>
    <w:rsid w:val="00C2652B"/>
    <w:rsid w:val="00C26DDD"/>
    <w:rsid w:val="00C30598"/>
    <w:rsid w:val="00C340F2"/>
    <w:rsid w:val="00C37B98"/>
    <w:rsid w:val="00C40AF4"/>
    <w:rsid w:val="00C44F36"/>
    <w:rsid w:val="00C45360"/>
    <w:rsid w:val="00C45BFA"/>
    <w:rsid w:val="00C45C85"/>
    <w:rsid w:val="00C45D69"/>
    <w:rsid w:val="00C51681"/>
    <w:rsid w:val="00C533E6"/>
    <w:rsid w:val="00C54DA2"/>
    <w:rsid w:val="00C56730"/>
    <w:rsid w:val="00C56F34"/>
    <w:rsid w:val="00C6024F"/>
    <w:rsid w:val="00C60CE3"/>
    <w:rsid w:val="00C61039"/>
    <w:rsid w:val="00C61FFE"/>
    <w:rsid w:val="00C63D95"/>
    <w:rsid w:val="00C64B94"/>
    <w:rsid w:val="00C650AE"/>
    <w:rsid w:val="00C67D6B"/>
    <w:rsid w:val="00C7064F"/>
    <w:rsid w:val="00C7070C"/>
    <w:rsid w:val="00C7380E"/>
    <w:rsid w:val="00C739BF"/>
    <w:rsid w:val="00C745B8"/>
    <w:rsid w:val="00C75225"/>
    <w:rsid w:val="00C7647E"/>
    <w:rsid w:val="00C76C24"/>
    <w:rsid w:val="00C80E3F"/>
    <w:rsid w:val="00C81BD1"/>
    <w:rsid w:val="00C8323E"/>
    <w:rsid w:val="00C85C21"/>
    <w:rsid w:val="00C8624E"/>
    <w:rsid w:val="00C8756C"/>
    <w:rsid w:val="00C90663"/>
    <w:rsid w:val="00C90E2B"/>
    <w:rsid w:val="00C92E70"/>
    <w:rsid w:val="00C936A0"/>
    <w:rsid w:val="00C93DCA"/>
    <w:rsid w:val="00C93E64"/>
    <w:rsid w:val="00C9535A"/>
    <w:rsid w:val="00C96D6F"/>
    <w:rsid w:val="00CA071B"/>
    <w:rsid w:val="00CA0DD1"/>
    <w:rsid w:val="00CA3099"/>
    <w:rsid w:val="00CA5466"/>
    <w:rsid w:val="00CA6643"/>
    <w:rsid w:val="00CA734B"/>
    <w:rsid w:val="00CB0475"/>
    <w:rsid w:val="00CB1B1E"/>
    <w:rsid w:val="00CB1DB5"/>
    <w:rsid w:val="00CB2C4F"/>
    <w:rsid w:val="00CB3583"/>
    <w:rsid w:val="00CB4540"/>
    <w:rsid w:val="00CB52FF"/>
    <w:rsid w:val="00CB5CCC"/>
    <w:rsid w:val="00CB6A8C"/>
    <w:rsid w:val="00CB794C"/>
    <w:rsid w:val="00CC2A2B"/>
    <w:rsid w:val="00CC34FF"/>
    <w:rsid w:val="00CC3A1C"/>
    <w:rsid w:val="00CC3FCA"/>
    <w:rsid w:val="00CC44F0"/>
    <w:rsid w:val="00CC6DB2"/>
    <w:rsid w:val="00CD09FA"/>
    <w:rsid w:val="00CD0E5B"/>
    <w:rsid w:val="00CD0FE9"/>
    <w:rsid w:val="00CD29E4"/>
    <w:rsid w:val="00CD396E"/>
    <w:rsid w:val="00CD3C38"/>
    <w:rsid w:val="00CD42E7"/>
    <w:rsid w:val="00CD5104"/>
    <w:rsid w:val="00CD6046"/>
    <w:rsid w:val="00CD60D3"/>
    <w:rsid w:val="00CE06A5"/>
    <w:rsid w:val="00CE202E"/>
    <w:rsid w:val="00CE2229"/>
    <w:rsid w:val="00CE28F2"/>
    <w:rsid w:val="00CE374E"/>
    <w:rsid w:val="00CE475A"/>
    <w:rsid w:val="00CE506E"/>
    <w:rsid w:val="00CE6622"/>
    <w:rsid w:val="00CF0534"/>
    <w:rsid w:val="00CF0BA6"/>
    <w:rsid w:val="00CF0BFF"/>
    <w:rsid w:val="00CF186A"/>
    <w:rsid w:val="00CF3FF0"/>
    <w:rsid w:val="00CF41AF"/>
    <w:rsid w:val="00CF4567"/>
    <w:rsid w:val="00CF53AB"/>
    <w:rsid w:val="00CF6815"/>
    <w:rsid w:val="00D04520"/>
    <w:rsid w:val="00D04D3D"/>
    <w:rsid w:val="00D053D1"/>
    <w:rsid w:val="00D06C45"/>
    <w:rsid w:val="00D10B12"/>
    <w:rsid w:val="00D1143A"/>
    <w:rsid w:val="00D11B02"/>
    <w:rsid w:val="00D1202C"/>
    <w:rsid w:val="00D12617"/>
    <w:rsid w:val="00D140D8"/>
    <w:rsid w:val="00D16DDF"/>
    <w:rsid w:val="00D16E24"/>
    <w:rsid w:val="00D171B6"/>
    <w:rsid w:val="00D17C62"/>
    <w:rsid w:val="00D17F75"/>
    <w:rsid w:val="00D20486"/>
    <w:rsid w:val="00D21E2F"/>
    <w:rsid w:val="00D228D8"/>
    <w:rsid w:val="00D22EB8"/>
    <w:rsid w:val="00D231E9"/>
    <w:rsid w:val="00D24319"/>
    <w:rsid w:val="00D31439"/>
    <w:rsid w:val="00D33677"/>
    <w:rsid w:val="00D36597"/>
    <w:rsid w:val="00D368FB"/>
    <w:rsid w:val="00D36BDD"/>
    <w:rsid w:val="00D3706F"/>
    <w:rsid w:val="00D373EC"/>
    <w:rsid w:val="00D37609"/>
    <w:rsid w:val="00D4180D"/>
    <w:rsid w:val="00D41B01"/>
    <w:rsid w:val="00D42875"/>
    <w:rsid w:val="00D4289E"/>
    <w:rsid w:val="00D42B44"/>
    <w:rsid w:val="00D444ED"/>
    <w:rsid w:val="00D44A14"/>
    <w:rsid w:val="00D44DB1"/>
    <w:rsid w:val="00D47738"/>
    <w:rsid w:val="00D47A1A"/>
    <w:rsid w:val="00D47D36"/>
    <w:rsid w:val="00D502EB"/>
    <w:rsid w:val="00D51A6C"/>
    <w:rsid w:val="00D51A9B"/>
    <w:rsid w:val="00D51D95"/>
    <w:rsid w:val="00D5260D"/>
    <w:rsid w:val="00D53EC6"/>
    <w:rsid w:val="00D55A00"/>
    <w:rsid w:val="00D55E49"/>
    <w:rsid w:val="00D56F77"/>
    <w:rsid w:val="00D57BA8"/>
    <w:rsid w:val="00D60C5E"/>
    <w:rsid w:val="00D60DB3"/>
    <w:rsid w:val="00D617A7"/>
    <w:rsid w:val="00D61E9F"/>
    <w:rsid w:val="00D62CC8"/>
    <w:rsid w:val="00D63232"/>
    <w:rsid w:val="00D63CCA"/>
    <w:rsid w:val="00D6402F"/>
    <w:rsid w:val="00D64983"/>
    <w:rsid w:val="00D64B54"/>
    <w:rsid w:val="00D7047A"/>
    <w:rsid w:val="00D70B1B"/>
    <w:rsid w:val="00D719E9"/>
    <w:rsid w:val="00D72225"/>
    <w:rsid w:val="00D73550"/>
    <w:rsid w:val="00D838F7"/>
    <w:rsid w:val="00D8479E"/>
    <w:rsid w:val="00D84B84"/>
    <w:rsid w:val="00D868F1"/>
    <w:rsid w:val="00D87B46"/>
    <w:rsid w:val="00D87EFF"/>
    <w:rsid w:val="00D87F3A"/>
    <w:rsid w:val="00D90F47"/>
    <w:rsid w:val="00D91AE6"/>
    <w:rsid w:val="00D93D11"/>
    <w:rsid w:val="00D941E0"/>
    <w:rsid w:val="00D95840"/>
    <w:rsid w:val="00D97308"/>
    <w:rsid w:val="00DA007F"/>
    <w:rsid w:val="00DA1603"/>
    <w:rsid w:val="00DA2B67"/>
    <w:rsid w:val="00DA3C9A"/>
    <w:rsid w:val="00DA554C"/>
    <w:rsid w:val="00DA589B"/>
    <w:rsid w:val="00DA5980"/>
    <w:rsid w:val="00DA5BF6"/>
    <w:rsid w:val="00DA5F07"/>
    <w:rsid w:val="00DB0EF6"/>
    <w:rsid w:val="00DB2668"/>
    <w:rsid w:val="00DB2CE5"/>
    <w:rsid w:val="00DB3D55"/>
    <w:rsid w:val="00DB42FB"/>
    <w:rsid w:val="00DB520B"/>
    <w:rsid w:val="00DB7AEE"/>
    <w:rsid w:val="00DC1187"/>
    <w:rsid w:val="00DC39C4"/>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7681"/>
    <w:rsid w:val="00E00443"/>
    <w:rsid w:val="00E027D2"/>
    <w:rsid w:val="00E02A93"/>
    <w:rsid w:val="00E02D36"/>
    <w:rsid w:val="00E03431"/>
    <w:rsid w:val="00E04E43"/>
    <w:rsid w:val="00E05E74"/>
    <w:rsid w:val="00E065D9"/>
    <w:rsid w:val="00E101A7"/>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7708"/>
    <w:rsid w:val="00E27EDD"/>
    <w:rsid w:val="00E35EAA"/>
    <w:rsid w:val="00E3704F"/>
    <w:rsid w:val="00E40194"/>
    <w:rsid w:val="00E412B7"/>
    <w:rsid w:val="00E42772"/>
    <w:rsid w:val="00E44F08"/>
    <w:rsid w:val="00E4608C"/>
    <w:rsid w:val="00E528AF"/>
    <w:rsid w:val="00E53131"/>
    <w:rsid w:val="00E5399A"/>
    <w:rsid w:val="00E5518E"/>
    <w:rsid w:val="00E56222"/>
    <w:rsid w:val="00E566D8"/>
    <w:rsid w:val="00E57743"/>
    <w:rsid w:val="00E577C9"/>
    <w:rsid w:val="00E57B0A"/>
    <w:rsid w:val="00E6128C"/>
    <w:rsid w:val="00E62505"/>
    <w:rsid w:val="00E62DD3"/>
    <w:rsid w:val="00E641D8"/>
    <w:rsid w:val="00E64B11"/>
    <w:rsid w:val="00E66D8F"/>
    <w:rsid w:val="00E6742D"/>
    <w:rsid w:val="00E705AA"/>
    <w:rsid w:val="00E71707"/>
    <w:rsid w:val="00E71EF1"/>
    <w:rsid w:val="00E731C6"/>
    <w:rsid w:val="00E740C4"/>
    <w:rsid w:val="00E74686"/>
    <w:rsid w:val="00E74750"/>
    <w:rsid w:val="00E757C2"/>
    <w:rsid w:val="00E7660C"/>
    <w:rsid w:val="00E76686"/>
    <w:rsid w:val="00E770A0"/>
    <w:rsid w:val="00E80520"/>
    <w:rsid w:val="00E80AFB"/>
    <w:rsid w:val="00E818D4"/>
    <w:rsid w:val="00E81BD0"/>
    <w:rsid w:val="00E81D4A"/>
    <w:rsid w:val="00E8297B"/>
    <w:rsid w:val="00E83C98"/>
    <w:rsid w:val="00E83D10"/>
    <w:rsid w:val="00E840FE"/>
    <w:rsid w:val="00E84359"/>
    <w:rsid w:val="00E847DC"/>
    <w:rsid w:val="00E84DBD"/>
    <w:rsid w:val="00E873A0"/>
    <w:rsid w:val="00E90A99"/>
    <w:rsid w:val="00E9124C"/>
    <w:rsid w:val="00E9128A"/>
    <w:rsid w:val="00E91BFD"/>
    <w:rsid w:val="00E91C15"/>
    <w:rsid w:val="00E93BF9"/>
    <w:rsid w:val="00E943E8"/>
    <w:rsid w:val="00E945CE"/>
    <w:rsid w:val="00E94F35"/>
    <w:rsid w:val="00E94FAF"/>
    <w:rsid w:val="00E96293"/>
    <w:rsid w:val="00E96E5C"/>
    <w:rsid w:val="00E97091"/>
    <w:rsid w:val="00EA0340"/>
    <w:rsid w:val="00EA0528"/>
    <w:rsid w:val="00EA0C10"/>
    <w:rsid w:val="00EA0DBB"/>
    <w:rsid w:val="00EA347E"/>
    <w:rsid w:val="00EA34B3"/>
    <w:rsid w:val="00EA4E02"/>
    <w:rsid w:val="00EA6276"/>
    <w:rsid w:val="00EB048C"/>
    <w:rsid w:val="00EB2C67"/>
    <w:rsid w:val="00EB367C"/>
    <w:rsid w:val="00EB43BA"/>
    <w:rsid w:val="00EB46D0"/>
    <w:rsid w:val="00EB4700"/>
    <w:rsid w:val="00EB63B0"/>
    <w:rsid w:val="00EB76DD"/>
    <w:rsid w:val="00EB7B64"/>
    <w:rsid w:val="00EB7F72"/>
    <w:rsid w:val="00EC4357"/>
    <w:rsid w:val="00EC49A4"/>
    <w:rsid w:val="00EC4EF3"/>
    <w:rsid w:val="00EC6BE4"/>
    <w:rsid w:val="00ED1051"/>
    <w:rsid w:val="00ED16C8"/>
    <w:rsid w:val="00ED20C9"/>
    <w:rsid w:val="00ED21EE"/>
    <w:rsid w:val="00ED262E"/>
    <w:rsid w:val="00ED37E1"/>
    <w:rsid w:val="00ED396E"/>
    <w:rsid w:val="00ED3B31"/>
    <w:rsid w:val="00ED4EC4"/>
    <w:rsid w:val="00ED6C04"/>
    <w:rsid w:val="00ED7B54"/>
    <w:rsid w:val="00EE04B4"/>
    <w:rsid w:val="00EE23A8"/>
    <w:rsid w:val="00EE3912"/>
    <w:rsid w:val="00EE4040"/>
    <w:rsid w:val="00EE4094"/>
    <w:rsid w:val="00EE4D57"/>
    <w:rsid w:val="00EE5287"/>
    <w:rsid w:val="00EE53FF"/>
    <w:rsid w:val="00EE5E83"/>
    <w:rsid w:val="00EE6954"/>
    <w:rsid w:val="00EE7092"/>
    <w:rsid w:val="00EF1875"/>
    <w:rsid w:val="00EF2F5C"/>
    <w:rsid w:val="00EF3FE7"/>
    <w:rsid w:val="00EF52E2"/>
    <w:rsid w:val="00EF6AE5"/>
    <w:rsid w:val="00EF7590"/>
    <w:rsid w:val="00F00C6F"/>
    <w:rsid w:val="00F02000"/>
    <w:rsid w:val="00F024CA"/>
    <w:rsid w:val="00F027AA"/>
    <w:rsid w:val="00F03117"/>
    <w:rsid w:val="00F03373"/>
    <w:rsid w:val="00F0354F"/>
    <w:rsid w:val="00F06C92"/>
    <w:rsid w:val="00F07B96"/>
    <w:rsid w:val="00F1013F"/>
    <w:rsid w:val="00F10A99"/>
    <w:rsid w:val="00F138A2"/>
    <w:rsid w:val="00F14C80"/>
    <w:rsid w:val="00F150B3"/>
    <w:rsid w:val="00F154EB"/>
    <w:rsid w:val="00F16338"/>
    <w:rsid w:val="00F17794"/>
    <w:rsid w:val="00F20632"/>
    <w:rsid w:val="00F20E56"/>
    <w:rsid w:val="00F21060"/>
    <w:rsid w:val="00F23738"/>
    <w:rsid w:val="00F25281"/>
    <w:rsid w:val="00F30846"/>
    <w:rsid w:val="00F30CAB"/>
    <w:rsid w:val="00F32479"/>
    <w:rsid w:val="00F327DF"/>
    <w:rsid w:val="00F32E2C"/>
    <w:rsid w:val="00F33121"/>
    <w:rsid w:val="00F33769"/>
    <w:rsid w:val="00F358DA"/>
    <w:rsid w:val="00F360D6"/>
    <w:rsid w:val="00F36B71"/>
    <w:rsid w:val="00F36DEB"/>
    <w:rsid w:val="00F406FD"/>
    <w:rsid w:val="00F40D24"/>
    <w:rsid w:val="00F414D0"/>
    <w:rsid w:val="00F41A9B"/>
    <w:rsid w:val="00F457AB"/>
    <w:rsid w:val="00F46641"/>
    <w:rsid w:val="00F4722B"/>
    <w:rsid w:val="00F47D9D"/>
    <w:rsid w:val="00F50558"/>
    <w:rsid w:val="00F50A8E"/>
    <w:rsid w:val="00F544D2"/>
    <w:rsid w:val="00F55847"/>
    <w:rsid w:val="00F57142"/>
    <w:rsid w:val="00F5756D"/>
    <w:rsid w:val="00F62D81"/>
    <w:rsid w:val="00F62F79"/>
    <w:rsid w:val="00F630A2"/>
    <w:rsid w:val="00F643B2"/>
    <w:rsid w:val="00F65297"/>
    <w:rsid w:val="00F652AB"/>
    <w:rsid w:val="00F65942"/>
    <w:rsid w:val="00F65E84"/>
    <w:rsid w:val="00F67651"/>
    <w:rsid w:val="00F72AA0"/>
    <w:rsid w:val="00F73305"/>
    <w:rsid w:val="00F7510E"/>
    <w:rsid w:val="00F761F7"/>
    <w:rsid w:val="00F76A40"/>
    <w:rsid w:val="00F77282"/>
    <w:rsid w:val="00F808C4"/>
    <w:rsid w:val="00F80C07"/>
    <w:rsid w:val="00F80D2C"/>
    <w:rsid w:val="00F814BB"/>
    <w:rsid w:val="00F85BC0"/>
    <w:rsid w:val="00F87264"/>
    <w:rsid w:val="00F908E9"/>
    <w:rsid w:val="00F90D31"/>
    <w:rsid w:val="00F91C4A"/>
    <w:rsid w:val="00F935EC"/>
    <w:rsid w:val="00F95F3C"/>
    <w:rsid w:val="00F96295"/>
    <w:rsid w:val="00F96905"/>
    <w:rsid w:val="00F96D19"/>
    <w:rsid w:val="00FA0EBA"/>
    <w:rsid w:val="00FA50A9"/>
    <w:rsid w:val="00FA56D6"/>
    <w:rsid w:val="00FA595F"/>
    <w:rsid w:val="00FA6C24"/>
    <w:rsid w:val="00FA7B14"/>
    <w:rsid w:val="00FA7B51"/>
    <w:rsid w:val="00FB338F"/>
    <w:rsid w:val="00FB371B"/>
    <w:rsid w:val="00FB3BA5"/>
    <w:rsid w:val="00FB47CF"/>
    <w:rsid w:val="00FB651A"/>
    <w:rsid w:val="00FC0CB3"/>
    <w:rsid w:val="00FC17D3"/>
    <w:rsid w:val="00FC2999"/>
    <w:rsid w:val="00FC5465"/>
    <w:rsid w:val="00FC697F"/>
    <w:rsid w:val="00FC765F"/>
    <w:rsid w:val="00FD03E1"/>
    <w:rsid w:val="00FD1861"/>
    <w:rsid w:val="00FD3DCC"/>
    <w:rsid w:val="00FD3F5C"/>
    <w:rsid w:val="00FD4C01"/>
    <w:rsid w:val="00FD5375"/>
    <w:rsid w:val="00FD5B82"/>
    <w:rsid w:val="00FD61A3"/>
    <w:rsid w:val="00FD66C9"/>
    <w:rsid w:val="00FD7962"/>
    <w:rsid w:val="00FD79F6"/>
    <w:rsid w:val="00FE0371"/>
    <w:rsid w:val="00FE1258"/>
    <w:rsid w:val="00FE2025"/>
    <w:rsid w:val="00FE31D0"/>
    <w:rsid w:val="00FE3581"/>
    <w:rsid w:val="00FE5227"/>
    <w:rsid w:val="00FE7A3F"/>
    <w:rsid w:val="00FF10F6"/>
    <w:rsid w:val="00FF1239"/>
    <w:rsid w:val="00FF21A8"/>
    <w:rsid w:val="00FF2556"/>
    <w:rsid w:val="00FF3F73"/>
    <w:rsid w:val="00FF473F"/>
    <w:rsid w:val="00FF4E87"/>
    <w:rsid w:val="00FF5C5C"/>
    <w:rsid w:val="00FF61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751F58-856A-4AC5-A4E0-80348365FC18}"/>
</file>

<file path=customXml/itemProps2.xml><?xml version="1.0" encoding="utf-8"?>
<ds:datastoreItem xmlns:ds="http://schemas.openxmlformats.org/officeDocument/2006/customXml" ds:itemID="{952AD7A5-8C44-4E22-84D3-D010EA6CD2D6}"/>
</file>

<file path=customXml/itemProps3.xml><?xml version="1.0" encoding="utf-8"?>
<ds:datastoreItem xmlns:ds="http://schemas.openxmlformats.org/officeDocument/2006/customXml" ds:itemID="{968311B7-053D-4FFC-9BAB-B2054253849B}"/>
</file>

<file path=customXml/itemProps4.xml><?xml version="1.0" encoding="utf-8"?>
<ds:datastoreItem xmlns:ds="http://schemas.openxmlformats.org/officeDocument/2006/customXml" ds:itemID="{86218A57-8DE8-47B0-B934-1FE0B42D4DF7}"/>
</file>

<file path=docProps/app.xml><?xml version="1.0" encoding="utf-8"?>
<Properties xmlns="http://schemas.openxmlformats.org/officeDocument/2006/extended-properties" xmlns:vt="http://schemas.openxmlformats.org/officeDocument/2006/docPropsVTypes">
  <Template>SCE Work Paper Template - Final.dot</Template>
  <TotalTime>27</TotalTime>
  <Pages>13</Pages>
  <Words>3502</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PGECO</vt:lpstr>
    </vt:vector>
  </TitlesOfParts>
  <Company>Microsoft</Company>
  <LinksUpToDate>false</LinksUpToDate>
  <CharactersWithSpaces>24328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dc:title>
  <dc:creator>Steven Blanc</dc:creator>
  <cp:lastModifiedBy>Wan, Linda</cp:lastModifiedBy>
  <cp:revision>6</cp:revision>
  <cp:lastPrinted>2015-03-11T00:55:00Z</cp:lastPrinted>
  <dcterms:created xsi:type="dcterms:W3CDTF">2016-04-15T23:44:00Z</dcterms:created>
  <dcterms:modified xsi:type="dcterms:W3CDTF">2017-02-01T18:37:00Z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